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7A" w:rsidRPr="00E42B2F" w:rsidRDefault="005B2FED" w:rsidP="00EE2E34">
      <w:pPr>
        <w:pStyle w:val="ListParagraph"/>
        <w:numPr>
          <w:ilvl w:val="0"/>
          <w:numId w:val="1"/>
        </w:numPr>
        <w:spacing w:line="360" w:lineRule="auto"/>
        <w:rPr>
          <w:b/>
          <w:sz w:val="22"/>
          <w:szCs w:val="28"/>
        </w:rPr>
      </w:pPr>
      <w:proofErr w:type="spellStart"/>
      <w:proofErr w:type="gramStart"/>
      <w:r w:rsidRPr="00E42B2F">
        <w:rPr>
          <w:b/>
          <w:sz w:val="22"/>
          <w:szCs w:val="28"/>
        </w:rPr>
        <w:t>beachmat</w:t>
      </w:r>
      <w:proofErr w:type="spellEnd"/>
      <w:proofErr w:type="gramEnd"/>
      <w:r w:rsidRPr="00E42B2F">
        <w:rPr>
          <w:b/>
          <w:sz w:val="22"/>
          <w:szCs w:val="28"/>
        </w:rPr>
        <w:t>: A Bioconductor C++ API for accessing high-throughput biological data from a variety of R matrix types.</w:t>
      </w:r>
    </w:p>
    <w:p w:rsidR="001C0B28" w:rsidRPr="00E42B2F" w:rsidRDefault="001C0B28" w:rsidP="00EE2E34">
      <w:pPr>
        <w:pStyle w:val="ListParagraph"/>
        <w:spacing w:line="360" w:lineRule="auto"/>
        <w:rPr>
          <w:rFonts w:ascii="Arial" w:hAnsi="Arial" w:cs="Arial"/>
          <w:color w:val="333333"/>
          <w:sz w:val="20"/>
          <w:szCs w:val="24"/>
          <w:shd w:val="clear" w:color="auto" w:fill="FFFFFF"/>
        </w:rPr>
      </w:pPr>
      <w:r w:rsidRPr="00E42B2F">
        <w:rPr>
          <w:rFonts w:ascii="Arial" w:hAnsi="Arial" w:cs="Arial"/>
          <w:color w:val="333333"/>
          <w:sz w:val="20"/>
          <w:szCs w:val="24"/>
          <w:shd w:val="clear" w:color="auto" w:fill="FFFFFF"/>
        </w:rPr>
        <w:t xml:space="preserve">Biological experiments involving genomics or other high-throughput assays typically yield a data matrix that can be explored and analyzed using the R programming language with packages from the Bioconductor project. Improvements in the throughput of these assays have resulted in an explosion of data even </w:t>
      </w:r>
      <w:r w:rsidR="000B00DD" w:rsidRPr="00E42B2F">
        <w:rPr>
          <w:rFonts w:ascii="Arial" w:hAnsi="Arial" w:cs="Arial"/>
          <w:color w:val="333333"/>
          <w:sz w:val="20"/>
          <w:szCs w:val="24"/>
          <w:shd w:val="clear" w:color="auto" w:fill="FFFFFF"/>
        </w:rPr>
        <w:t>from routine experiments, which pose</w:t>
      </w:r>
      <w:r w:rsidRPr="00E42B2F">
        <w:rPr>
          <w:rFonts w:ascii="Arial" w:hAnsi="Arial" w:cs="Arial"/>
          <w:color w:val="333333"/>
          <w:sz w:val="20"/>
          <w:szCs w:val="24"/>
          <w:shd w:val="clear" w:color="auto" w:fill="FFFFFF"/>
        </w:rPr>
        <w:t xml:space="preserve"> a challenge to the existing computational infrastructure for statistical data analysis. </w:t>
      </w:r>
    </w:p>
    <w:p w:rsidR="001C0B28" w:rsidRPr="00E42B2F" w:rsidRDefault="001C0B28" w:rsidP="00EE2E34">
      <w:pPr>
        <w:pStyle w:val="ListParagraph"/>
        <w:spacing w:line="360" w:lineRule="auto"/>
        <w:rPr>
          <w:rFonts w:ascii="Arial" w:hAnsi="Arial" w:cs="Arial"/>
          <w:color w:val="333333"/>
          <w:sz w:val="20"/>
          <w:szCs w:val="24"/>
          <w:shd w:val="clear" w:color="auto" w:fill="FFFFFF"/>
        </w:rPr>
      </w:pPr>
      <w:r w:rsidRPr="00E42B2F">
        <w:rPr>
          <w:rFonts w:ascii="Arial" w:hAnsi="Arial" w:cs="Arial"/>
          <w:color w:val="333333"/>
          <w:sz w:val="20"/>
          <w:szCs w:val="24"/>
          <w:shd w:val="clear" w:color="auto" w:fill="FFFFFF"/>
        </w:rPr>
        <w:t>The </w:t>
      </w:r>
      <w:proofErr w:type="spellStart"/>
      <w:r w:rsidRPr="00E42B2F">
        <w:rPr>
          <w:rStyle w:val="Emphasis"/>
          <w:rFonts w:ascii="Arial" w:hAnsi="Arial" w:cs="Arial"/>
          <w:color w:val="333333"/>
          <w:sz w:val="20"/>
          <w:szCs w:val="24"/>
          <w:shd w:val="clear" w:color="auto" w:fill="FFFFFF"/>
        </w:rPr>
        <w:t>beachmat</w:t>
      </w:r>
      <w:proofErr w:type="spellEnd"/>
      <w:r w:rsidRPr="00E42B2F">
        <w:rPr>
          <w:rFonts w:ascii="Arial" w:hAnsi="Arial" w:cs="Arial"/>
          <w:color w:val="333333"/>
          <w:sz w:val="20"/>
          <w:szCs w:val="24"/>
          <w:shd w:val="clear" w:color="auto" w:fill="FFFFFF"/>
        </w:rPr>
        <w:t xml:space="preserve"> API uses C++ classes to provide a common interface for data access from R matrix representations. For all representations of a given data type (e.g., integer, double-precision, character strings), we define a base class with common methods for data access. Each specific representation is associated with a derived class that provides customized implementations of the access methods. The intention is for a user to pass in an R matrix of any type, in the form of </w:t>
      </w:r>
      <w:proofErr w:type="gramStart"/>
      <w:r w:rsidRPr="00E42B2F">
        <w:rPr>
          <w:rFonts w:ascii="Arial" w:hAnsi="Arial" w:cs="Arial"/>
          <w:color w:val="333333"/>
          <w:sz w:val="20"/>
          <w:szCs w:val="24"/>
          <w:shd w:val="clear" w:color="auto" w:fill="FFFFFF"/>
        </w:rPr>
        <w:t>an</w:t>
      </w:r>
      <w:proofErr w:type="gramEnd"/>
      <w:r w:rsidRPr="00E42B2F">
        <w:rPr>
          <w:rFonts w:ascii="Arial" w:hAnsi="Arial" w:cs="Arial"/>
          <w:color w:val="333333"/>
          <w:sz w:val="20"/>
          <w:szCs w:val="24"/>
          <w:shd w:val="clear" w:color="auto" w:fill="FFFFFF"/>
        </w:rPr>
        <w:t> </w:t>
      </w:r>
      <w:proofErr w:type="spellStart"/>
      <w:r w:rsidRPr="00E42B2F">
        <w:rPr>
          <w:rStyle w:val="monospace"/>
          <w:rFonts w:ascii="Courier New" w:hAnsi="Courier New" w:cs="Courier New"/>
          <w:color w:val="333333"/>
          <w:sz w:val="20"/>
          <w:szCs w:val="24"/>
          <w:shd w:val="clear" w:color="auto" w:fill="FFFFFF"/>
        </w:rPr>
        <w:t>RObject</w:t>
      </w:r>
      <w:proofErr w:type="spellEnd"/>
      <w:r w:rsidRPr="00E42B2F">
        <w:rPr>
          <w:rFonts w:ascii="Arial" w:hAnsi="Arial" w:cs="Arial"/>
          <w:color w:val="333333"/>
          <w:sz w:val="20"/>
          <w:szCs w:val="24"/>
          <w:shd w:val="clear" w:color="auto" w:fill="FFFFFF"/>
        </w:rPr>
        <w:t> instance from the </w:t>
      </w:r>
      <w:proofErr w:type="spellStart"/>
      <w:r w:rsidRPr="00E42B2F">
        <w:rPr>
          <w:rStyle w:val="Emphasis"/>
          <w:rFonts w:ascii="Arial" w:hAnsi="Arial" w:cs="Arial"/>
          <w:color w:val="333333"/>
          <w:sz w:val="20"/>
          <w:szCs w:val="24"/>
          <w:shd w:val="clear" w:color="auto" w:fill="FFFFFF"/>
        </w:rPr>
        <w:t>Rcpp</w:t>
      </w:r>
      <w:proofErr w:type="spellEnd"/>
      <w:r w:rsidRPr="00E42B2F">
        <w:rPr>
          <w:rFonts w:ascii="Arial" w:hAnsi="Arial" w:cs="Arial"/>
          <w:color w:val="333333"/>
          <w:sz w:val="20"/>
          <w:szCs w:val="24"/>
          <w:shd w:val="clear" w:color="auto" w:fill="FFFFFF"/>
        </w:rPr>
        <w:t> API (</w:t>
      </w:r>
      <w:hyperlink r:id="rId10" w:anchor="pcbi-1006135-g001" w:history="1">
        <w:r w:rsidRPr="00E42B2F">
          <w:rPr>
            <w:rStyle w:val="Hyperlink"/>
            <w:rFonts w:ascii="Arial" w:hAnsi="Arial" w:cs="Arial"/>
            <w:color w:val="3C63AF"/>
            <w:sz w:val="20"/>
            <w:szCs w:val="24"/>
            <w:shd w:val="clear" w:color="auto" w:fill="FFFFFF"/>
          </w:rPr>
          <w:t>Fig 1</w:t>
        </w:r>
      </w:hyperlink>
      <w:r w:rsidRPr="00E42B2F">
        <w:rPr>
          <w:rFonts w:ascii="Arial" w:hAnsi="Arial" w:cs="Arial"/>
          <w:color w:val="333333"/>
          <w:sz w:val="20"/>
          <w:szCs w:val="24"/>
          <w:shd w:val="clear" w:color="auto" w:fill="FFFFFF"/>
        </w:rPr>
        <w:t>). </w:t>
      </w:r>
      <w:proofErr w:type="spellStart"/>
      <w:proofErr w:type="gramStart"/>
      <w:r w:rsidRPr="00E42B2F">
        <w:rPr>
          <w:rStyle w:val="Emphasis"/>
          <w:rFonts w:ascii="Arial" w:hAnsi="Arial" w:cs="Arial"/>
          <w:color w:val="333333"/>
          <w:sz w:val="20"/>
          <w:szCs w:val="24"/>
          <w:shd w:val="clear" w:color="auto" w:fill="FFFFFF"/>
        </w:rPr>
        <w:t>beachmat</w:t>
      </w:r>
      <w:proofErr w:type="spellEnd"/>
      <w:proofErr w:type="gramEnd"/>
      <w:r w:rsidRPr="00E42B2F">
        <w:rPr>
          <w:rFonts w:ascii="Arial" w:hAnsi="Arial" w:cs="Arial"/>
          <w:color w:val="333333"/>
          <w:sz w:val="20"/>
          <w:szCs w:val="24"/>
          <w:shd w:val="clear" w:color="auto" w:fill="FFFFFF"/>
        </w:rPr>
        <w:t> then constructs an instance of the appropriate derived class, returning a pointer to the base class. This pointer is the same regardless of the representation and can be used in downstream C++ code to achieve run-time polymorphism.</w:t>
      </w:r>
    </w:p>
    <w:p w:rsidR="001C0B28" w:rsidRPr="00E42B2F" w:rsidRDefault="001C0B28" w:rsidP="00EE2E34">
      <w:pPr>
        <w:pStyle w:val="ListParagraph"/>
        <w:spacing w:line="360" w:lineRule="auto"/>
        <w:rPr>
          <w:rFonts w:ascii="Arial" w:hAnsi="Arial" w:cs="Arial"/>
          <w:color w:val="000000"/>
          <w:sz w:val="20"/>
          <w:szCs w:val="24"/>
          <w:shd w:val="clear" w:color="auto" w:fill="FFFFFF"/>
        </w:rPr>
      </w:pPr>
      <w:r w:rsidRPr="00E42B2F">
        <w:rPr>
          <w:rFonts w:ascii="Arial" w:hAnsi="Arial" w:cs="Arial"/>
          <w:color w:val="000000"/>
          <w:sz w:val="20"/>
          <w:szCs w:val="24"/>
          <w:shd w:val="clear" w:color="auto" w:fill="FFFFFF"/>
        </w:rPr>
        <w:t xml:space="preserve"> We also demonstrate how </w:t>
      </w:r>
      <w:proofErr w:type="spellStart"/>
      <w:r w:rsidRPr="00E42B2F">
        <w:rPr>
          <w:rFonts w:ascii="Arial" w:hAnsi="Arial" w:cs="Arial"/>
          <w:color w:val="000000"/>
          <w:sz w:val="20"/>
          <w:szCs w:val="24"/>
          <w:shd w:val="clear" w:color="auto" w:fill="FFFFFF"/>
        </w:rPr>
        <w:t>beachmat</w:t>
      </w:r>
      <w:proofErr w:type="spellEnd"/>
      <w:r w:rsidRPr="00E42B2F">
        <w:rPr>
          <w:rFonts w:ascii="Arial" w:hAnsi="Arial" w:cs="Arial"/>
          <w:color w:val="000000"/>
          <w:sz w:val="20"/>
          <w:szCs w:val="24"/>
          <w:shd w:val="clear" w:color="auto" w:fill="FFFFFF"/>
        </w:rPr>
        <w:t xml:space="preserve"> can be incorporated into the code of other packages to drive analyses of a very large </w:t>
      </w:r>
      <w:proofErr w:type="spellStart"/>
      <w:r w:rsidRPr="00E42B2F">
        <w:rPr>
          <w:rFonts w:ascii="Arial" w:hAnsi="Arial" w:cs="Arial"/>
          <w:color w:val="000000"/>
          <w:sz w:val="20"/>
          <w:szCs w:val="24"/>
          <w:shd w:val="clear" w:color="auto" w:fill="FFFFFF"/>
        </w:rPr>
        <w:t>scRNA-seq</w:t>
      </w:r>
      <w:proofErr w:type="spellEnd"/>
      <w:r w:rsidRPr="00E42B2F">
        <w:rPr>
          <w:rFonts w:ascii="Arial" w:hAnsi="Arial" w:cs="Arial"/>
          <w:color w:val="000000"/>
          <w:sz w:val="20"/>
          <w:szCs w:val="24"/>
          <w:shd w:val="clear" w:color="auto" w:fill="FFFFFF"/>
        </w:rPr>
        <w:t xml:space="preserve"> data set.</w:t>
      </w:r>
    </w:p>
    <w:p w:rsidR="00EE2E34" w:rsidRPr="00E42B2F" w:rsidRDefault="00EE2E34" w:rsidP="00EE2E34">
      <w:pPr>
        <w:pStyle w:val="ListParagraph"/>
        <w:spacing w:line="360" w:lineRule="auto"/>
        <w:rPr>
          <w:sz w:val="20"/>
          <w:szCs w:val="24"/>
        </w:rPr>
      </w:pPr>
    </w:p>
    <w:p w:rsidR="005B2FED" w:rsidRPr="00E42B2F" w:rsidRDefault="005B2FED" w:rsidP="00EE2E34">
      <w:pPr>
        <w:pStyle w:val="ListParagraph"/>
        <w:numPr>
          <w:ilvl w:val="0"/>
          <w:numId w:val="1"/>
        </w:numPr>
        <w:spacing w:line="360" w:lineRule="auto"/>
        <w:rPr>
          <w:b/>
          <w:sz w:val="22"/>
          <w:szCs w:val="28"/>
        </w:rPr>
      </w:pPr>
      <w:r w:rsidRPr="00E42B2F">
        <w:rPr>
          <w:b/>
          <w:sz w:val="22"/>
          <w:szCs w:val="28"/>
        </w:rPr>
        <w:t>Applications of Bayesian network models in predicting types of hematological malignancies.</w:t>
      </w:r>
    </w:p>
    <w:p w:rsidR="001C0B28" w:rsidRPr="00E42B2F" w:rsidRDefault="001C0B28" w:rsidP="00EE2E34">
      <w:pPr>
        <w:pStyle w:val="ListParagraph"/>
        <w:spacing w:line="360" w:lineRule="auto"/>
        <w:rPr>
          <w:rFonts w:ascii="Times" w:hAnsi="Times" w:cs="Times"/>
          <w:color w:val="222222"/>
          <w:spacing w:val="3"/>
          <w:sz w:val="20"/>
          <w:szCs w:val="24"/>
          <w:shd w:val="clear" w:color="auto" w:fill="FFFFFF"/>
        </w:rPr>
      </w:pPr>
      <w:r w:rsidRPr="00E42B2F">
        <w:rPr>
          <w:rFonts w:ascii="Times" w:hAnsi="Times" w:cs="Times"/>
          <w:color w:val="222222"/>
          <w:spacing w:val="3"/>
          <w:sz w:val="20"/>
          <w:szCs w:val="24"/>
          <w:shd w:val="clear" w:color="auto" w:fill="FFFFFF"/>
        </w:rPr>
        <w:t xml:space="preserve">Network analysis is the preferred approach for the detection of subtle but coordinated changes in expression of an interacting and related set of genes. We introduce a novel method based on the analyses of </w:t>
      </w:r>
      <w:proofErr w:type="spellStart"/>
      <w:r w:rsidRPr="00E42B2F">
        <w:rPr>
          <w:rFonts w:ascii="Times" w:hAnsi="Times" w:cs="Times"/>
          <w:color w:val="222222"/>
          <w:spacing w:val="3"/>
          <w:sz w:val="20"/>
          <w:szCs w:val="24"/>
          <w:shd w:val="clear" w:color="auto" w:fill="FFFFFF"/>
        </w:rPr>
        <w:t>coexpression</w:t>
      </w:r>
      <w:proofErr w:type="spellEnd"/>
      <w:r w:rsidRPr="00E42B2F">
        <w:rPr>
          <w:rFonts w:ascii="Times" w:hAnsi="Times" w:cs="Times"/>
          <w:color w:val="222222"/>
          <w:spacing w:val="3"/>
          <w:sz w:val="20"/>
          <w:szCs w:val="24"/>
          <w:shd w:val="clear" w:color="auto" w:fill="FFFFFF"/>
        </w:rPr>
        <w:t xml:space="preserve"> networks and Bayesian networks, and we use this new method to classify two types of hematological malignancies; namely, acute myeloid leukemia (AML) and myelodysplastic syndrome (MDS). Our classifier has an accuracy of 93%, a precision of 98%, and a recall of 90% on the training dataset (</w:t>
      </w:r>
      <w:r w:rsidRPr="00E42B2F">
        <w:rPr>
          <w:rFonts w:ascii="Times" w:hAnsi="Times" w:cs="Times"/>
          <w:i/>
          <w:iCs/>
          <w:color w:val="222222"/>
          <w:spacing w:val="3"/>
          <w:sz w:val="20"/>
          <w:szCs w:val="24"/>
          <w:shd w:val="clear" w:color="auto" w:fill="FFFFFF"/>
        </w:rPr>
        <w:t>n</w:t>
      </w:r>
      <w:r w:rsidRPr="00E42B2F">
        <w:rPr>
          <w:rFonts w:ascii="Times" w:hAnsi="Times" w:cs="Times"/>
          <w:color w:val="222222"/>
          <w:spacing w:val="3"/>
          <w:sz w:val="20"/>
          <w:szCs w:val="24"/>
          <w:shd w:val="clear" w:color="auto" w:fill="FFFFFF"/>
        </w:rPr>
        <w:t> = 366); which outperforms the results reported by other scholars on the same dataset. Although our training dataset consists of microarray data, our model has a remarkable performance on the RNA-Seq test dataset (</w:t>
      </w:r>
      <w:r w:rsidRPr="00E42B2F">
        <w:rPr>
          <w:rFonts w:ascii="Times" w:hAnsi="Times" w:cs="Times"/>
          <w:i/>
          <w:iCs/>
          <w:color w:val="222222"/>
          <w:spacing w:val="3"/>
          <w:sz w:val="20"/>
          <w:szCs w:val="24"/>
          <w:shd w:val="clear" w:color="auto" w:fill="FFFFFF"/>
        </w:rPr>
        <w:t>n</w:t>
      </w:r>
      <w:r w:rsidRPr="00E42B2F">
        <w:rPr>
          <w:rFonts w:ascii="Times" w:hAnsi="Times" w:cs="Times"/>
          <w:color w:val="222222"/>
          <w:spacing w:val="3"/>
          <w:sz w:val="20"/>
          <w:szCs w:val="24"/>
          <w:shd w:val="clear" w:color="auto" w:fill="FFFFFF"/>
        </w:rPr>
        <w:t xml:space="preserve"> = 74, accuracy = 89%, precision = 88%, recall = 98%), which confirms that </w:t>
      </w:r>
      <w:proofErr w:type="spellStart"/>
      <w:r w:rsidRPr="00E42B2F">
        <w:rPr>
          <w:rFonts w:ascii="Times" w:hAnsi="Times" w:cs="Times"/>
          <w:color w:val="222222"/>
          <w:spacing w:val="3"/>
          <w:sz w:val="20"/>
          <w:szCs w:val="24"/>
          <w:shd w:val="clear" w:color="auto" w:fill="FFFFFF"/>
        </w:rPr>
        <w:t>eigengenes</w:t>
      </w:r>
      <w:proofErr w:type="spellEnd"/>
      <w:r w:rsidRPr="00E42B2F">
        <w:rPr>
          <w:rFonts w:ascii="Times" w:hAnsi="Times" w:cs="Times"/>
          <w:color w:val="222222"/>
          <w:spacing w:val="3"/>
          <w:sz w:val="20"/>
          <w:szCs w:val="24"/>
          <w:shd w:val="clear" w:color="auto" w:fill="FFFFFF"/>
        </w:rPr>
        <w:t xml:space="preserve"> are robust with respect to expression profiling technology. These signatures are useful in classification and correctly predicting the diagnosis. They might also provide valuable information about the underlying biology of diseases. Our network analysis approach is generalizable and can be useful for classifying other diseases based on gene expression profiles.</w:t>
      </w:r>
    </w:p>
    <w:p w:rsidR="001C0B28" w:rsidRPr="00E42B2F" w:rsidRDefault="001C0B28" w:rsidP="00EE2E34">
      <w:pPr>
        <w:pStyle w:val="ListParagraph"/>
        <w:spacing w:line="360" w:lineRule="auto"/>
        <w:rPr>
          <w:rFonts w:ascii="Times" w:hAnsi="Times" w:cs="Times"/>
          <w:color w:val="222222"/>
          <w:spacing w:val="3"/>
          <w:sz w:val="20"/>
          <w:szCs w:val="24"/>
          <w:shd w:val="clear" w:color="auto" w:fill="FFFFFF"/>
        </w:rPr>
      </w:pPr>
      <w:r w:rsidRPr="00E42B2F">
        <w:rPr>
          <w:rFonts w:ascii="Times" w:hAnsi="Times" w:cs="Times"/>
          <w:color w:val="222222"/>
          <w:spacing w:val="3"/>
          <w:sz w:val="20"/>
          <w:szCs w:val="24"/>
          <w:shd w:val="clear" w:color="auto" w:fill="FFFFFF"/>
        </w:rPr>
        <w:t>Our previously published </w:t>
      </w:r>
      <w:proofErr w:type="spellStart"/>
      <w:r w:rsidRPr="00E42B2F">
        <w:rPr>
          <w:rFonts w:ascii="Times" w:hAnsi="Times" w:cs="Times"/>
          <w:b/>
          <w:i/>
          <w:iCs/>
          <w:color w:val="222222"/>
          <w:spacing w:val="3"/>
          <w:sz w:val="20"/>
          <w:szCs w:val="24"/>
          <w:highlight w:val="yellow"/>
          <w:shd w:val="clear" w:color="auto" w:fill="FFFFFF"/>
        </w:rPr>
        <w:t>Pigengene</w:t>
      </w:r>
      <w:proofErr w:type="spellEnd"/>
      <w:r w:rsidRPr="00E42B2F">
        <w:rPr>
          <w:rFonts w:ascii="Times" w:hAnsi="Times" w:cs="Times"/>
          <w:color w:val="222222"/>
          <w:spacing w:val="3"/>
          <w:sz w:val="20"/>
          <w:szCs w:val="24"/>
          <w:shd w:val="clear" w:color="auto" w:fill="FFFFFF"/>
        </w:rPr>
        <w:t> package is publicly available through Bioconductor, which can be used to conveniently fit a Bayesian network to gene expression data.</w:t>
      </w:r>
    </w:p>
    <w:p w:rsidR="001C0B28" w:rsidRPr="00E42B2F" w:rsidRDefault="001C0B28" w:rsidP="00EE2E34">
      <w:pPr>
        <w:pStyle w:val="ListParagraph"/>
        <w:spacing w:line="360" w:lineRule="auto"/>
        <w:rPr>
          <w:b/>
          <w:sz w:val="20"/>
          <w:szCs w:val="24"/>
        </w:rPr>
      </w:pPr>
      <w:r w:rsidRPr="00E42B2F">
        <w:rPr>
          <w:noProof/>
          <w:sz w:val="20"/>
          <w:szCs w:val="24"/>
        </w:rPr>
        <w:lastRenderedPageBreak/>
        <w:drawing>
          <wp:inline distT="0" distB="0" distL="0" distR="0" wp14:anchorId="7C49E3DE" wp14:editId="39B7BC27">
            <wp:extent cx="4779395" cy="3951798"/>
            <wp:effectExtent l="0" t="0" r="254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885" cy="3952203"/>
                    </a:xfrm>
                    <a:prstGeom prst="rect">
                      <a:avLst/>
                    </a:prstGeom>
                    <a:noFill/>
                    <a:ln>
                      <a:noFill/>
                    </a:ln>
                  </pic:spPr>
                </pic:pic>
              </a:graphicData>
            </a:graphic>
          </wp:inline>
        </w:drawing>
      </w:r>
    </w:p>
    <w:p w:rsidR="005B2FED" w:rsidRPr="00E42B2F" w:rsidRDefault="005B2FED" w:rsidP="00EE2E34">
      <w:pPr>
        <w:pStyle w:val="ListParagraph"/>
        <w:numPr>
          <w:ilvl w:val="0"/>
          <w:numId w:val="1"/>
        </w:numPr>
        <w:spacing w:line="360" w:lineRule="auto"/>
        <w:rPr>
          <w:b/>
          <w:sz w:val="22"/>
          <w:szCs w:val="28"/>
        </w:rPr>
      </w:pPr>
      <w:r w:rsidRPr="00E42B2F">
        <w:rPr>
          <w:b/>
          <w:sz w:val="22"/>
          <w:szCs w:val="28"/>
        </w:rPr>
        <w:t xml:space="preserve">Gene expression profiles and pathway enrichment analysis of human osteosarcoma cells exposed to </w:t>
      </w:r>
      <w:proofErr w:type="spellStart"/>
      <w:r w:rsidRPr="00E42B2F">
        <w:rPr>
          <w:b/>
          <w:sz w:val="22"/>
          <w:szCs w:val="28"/>
        </w:rPr>
        <w:t>sorafenib</w:t>
      </w:r>
      <w:proofErr w:type="spellEnd"/>
      <w:r w:rsidRPr="00E42B2F">
        <w:rPr>
          <w:b/>
          <w:sz w:val="22"/>
          <w:szCs w:val="28"/>
        </w:rPr>
        <w:t>.</w:t>
      </w:r>
    </w:p>
    <w:p w:rsidR="001C0B28" w:rsidRPr="001C0B28" w:rsidRDefault="001C0B28" w:rsidP="00EE2E34">
      <w:pPr>
        <w:pStyle w:val="ListParagraph"/>
        <w:spacing w:line="360" w:lineRule="auto"/>
        <w:rPr>
          <w:sz w:val="20"/>
          <w:szCs w:val="24"/>
        </w:rPr>
      </w:pPr>
      <w:proofErr w:type="spellStart"/>
      <w:r w:rsidRPr="00E42B2F">
        <w:rPr>
          <w:rFonts w:ascii="Arial" w:hAnsi="Arial" w:cs="Arial"/>
          <w:color w:val="1C1D1E"/>
          <w:sz w:val="20"/>
          <w:szCs w:val="24"/>
          <w:shd w:val="clear" w:color="auto" w:fill="FFFFFF"/>
        </w:rPr>
        <w:t>Sorafenib</w:t>
      </w:r>
      <w:proofErr w:type="spellEnd"/>
      <w:r w:rsidRPr="00E42B2F">
        <w:rPr>
          <w:rFonts w:ascii="Arial" w:hAnsi="Arial" w:cs="Arial"/>
          <w:color w:val="1C1D1E"/>
          <w:sz w:val="20"/>
          <w:szCs w:val="24"/>
          <w:shd w:val="clear" w:color="auto" w:fill="FFFFFF"/>
        </w:rPr>
        <w:t xml:space="preserve"> is an inhibitor of a variety of tyrosine kinase receptors used to treat various cancers including hepatocellular, renal cell and thyroid carcinoma. It has been shown to change various targets associated with osteosarcoma, but the detailed mechanism remains unclear. In order to identify key genes, enriched pathways and important modules during the exposure of human osteosarcoma cells to </w:t>
      </w:r>
      <w:proofErr w:type="spellStart"/>
      <w:r w:rsidRPr="00E42B2F">
        <w:rPr>
          <w:rFonts w:ascii="Arial" w:hAnsi="Arial" w:cs="Arial"/>
          <w:color w:val="1C1D1E"/>
          <w:sz w:val="20"/>
          <w:szCs w:val="24"/>
          <w:shd w:val="clear" w:color="auto" w:fill="FFFFFF"/>
        </w:rPr>
        <w:t>sorafenib</w:t>
      </w:r>
      <w:proofErr w:type="spellEnd"/>
      <w:r w:rsidRPr="00E42B2F">
        <w:rPr>
          <w:rFonts w:ascii="Arial" w:hAnsi="Arial" w:cs="Arial"/>
          <w:color w:val="1C1D1E"/>
          <w:sz w:val="20"/>
          <w:szCs w:val="24"/>
          <w:shd w:val="clear" w:color="auto" w:fill="FFFFFF"/>
        </w:rPr>
        <w:t>, data for gene expression profiles (</w:t>
      </w:r>
      <w:hyperlink r:id="rId12" w:history="1">
        <w:r w:rsidRPr="00E42B2F">
          <w:rPr>
            <w:rStyle w:val="Hyperlink"/>
            <w:rFonts w:ascii="Arial" w:hAnsi="Arial" w:cs="Arial"/>
            <w:color w:val="005274"/>
            <w:sz w:val="20"/>
            <w:szCs w:val="24"/>
            <w:shd w:val="clear" w:color="auto" w:fill="FFFFFF"/>
          </w:rPr>
          <w:t>GSE53155</w:t>
        </w:r>
      </w:hyperlink>
      <w:r w:rsidRPr="00E42B2F">
        <w:rPr>
          <w:rFonts w:ascii="Arial" w:hAnsi="Arial" w:cs="Arial"/>
          <w:color w:val="1C1D1E"/>
          <w:sz w:val="20"/>
          <w:szCs w:val="24"/>
          <w:shd w:val="clear" w:color="auto" w:fill="FFFFFF"/>
        </w:rPr>
        <w:t>) were downloaded from the GEO database. In total, 61 differentially expressed genes (DEGs) were identified by the R </w:t>
      </w:r>
      <w:proofErr w:type="spellStart"/>
      <w:r w:rsidRPr="00E42B2F">
        <w:rPr>
          <w:rStyle w:val="smallcaps"/>
          <w:rFonts w:ascii="Arial" w:hAnsi="Arial" w:cs="Arial"/>
          <w:smallCaps/>
          <w:color w:val="1C1D1E"/>
          <w:sz w:val="20"/>
          <w:szCs w:val="24"/>
          <w:shd w:val="clear" w:color="auto" w:fill="FFFFFF"/>
        </w:rPr>
        <w:t>bioconductor</w:t>
      </w:r>
      <w:proofErr w:type="spellEnd"/>
      <w:r w:rsidRPr="00E42B2F">
        <w:rPr>
          <w:rFonts w:ascii="Arial" w:hAnsi="Arial" w:cs="Arial"/>
          <w:color w:val="1C1D1E"/>
          <w:sz w:val="20"/>
          <w:szCs w:val="24"/>
          <w:shd w:val="clear" w:color="auto" w:fill="FFFFFF"/>
        </w:rPr>
        <w:t> packages. Functional and enrichment analyses of DEGs were performed using the DAVID database. These revealed that DEGs were enriched in biological processes, molecular function and KEGG pathway of inflammatory immune response and angiogenesis. A protein–protein interaction network was constructed by </w:t>
      </w:r>
      <w:r w:rsidRPr="00E42B2F">
        <w:rPr>
          <w:rStyle w:val="smallcaps"/>
          <w:rFonts w:ascii="Arial" w:hAnsi="Arial" w:cs="Arial"/>
          <w:smallCaps/>
          <w:color w:val="1C1D1E"/>
          <w:sz w:val="20"/>
          <w:szCs w:val="24"/>
          <w:shd w:val="clear" w:color="auto" w:fill="FFFFFF"/>
        </w:rPr>
        <w:t>string</w:t>
      </w:r>
      <w:r w:rsidRPr="00E42B2F">
        <w:rPr>
          <w:rFonts w:ascii="Arial" w:hAnsi="Arial" w:cs="Arial"/>
          <w:color w:val="1C1D1E"/>
          <w:sz w:val="20"/>
          <w:szCs w:val="24"/>
          <w:shd w:val="clear" w:color="auto" w:fill="FFFFFF"/>
        </w:rPr>
        <w:t> and visualized in </w:t>
      </w:r>
      <w:proofErr w:type="spellStart"/>
      <w:r w:rsidRPr="00E42B2F">
        <w:rPr>
          <w:rStyle w:val="smallcaps"/>
          <w:rFonts w:ascii="Arial" w:hAnsi="Arial" w:cs="Arial"/>
          <w:smallCaps/>
          <w:color w:val="1C1D1E"/>
          <w:sz w:val="20"/>
          <w:szCs w:val="24"/>
          <w:shd w:val="clear" w:color="auto" w:fill="FFFFFF"/>
        </w:rPr>
        <w:t>cytoscape</w:t>
      </w:r>
      <w:proofErr w:type="spellEnd"/>
      <w:r w:rsidRPr="00E42B2F">
        <w:rPr>
          <w:rFonts w:ascii="Arial" w:hAnsi="Arial" w:cs="Arial"/>
          <w:color w:val="1C1D1E"/>
          <w:sz w:val="20"/>
          <w:szCs w:val="24"/>
          <w:shd w:val="clear" w:color="auto" w:fill="FFFFFF"/>
        </w:rPr>
        <w:t>, and eight genes were selected as hubs: </w:t>
      </w:r>
      <w:r w:rsidRPr="00E42B2F">
        <w:rPr>
          <w:rFonts w:ascii="Arial" w:hAnsi="Arial" w:cs="Arial"/>
          <w:i/>
          <w:iCs/>
          <w:color w:val="1C1D1E"/>
          <w:sz w:val="20"/>
          <w:szCs w:val="24"/>
          <w:shd w:val="clear" w:color="auto" w:fill="FFFFFF"/>
        </w:rPr>
        <w:t>IL8</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CXCL2</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PTGS2</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FOS</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CXCL1</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C3</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EHMT2</w:t>
      </w:r>
      <w:r w:rsidRPr="00E42B2F">
        <w:rPr>
          <w:rFonts w:ascii="Arial" w:hAnsi="Arial" w:cs="Arial"/>
          <w:color w:val="1C1D1E"/>
          <w:sz w:val="20"/>
          <w:szCs w:val="24"/>
          <w:shd w:val="clear" w:color="auto" w:fill="FFFFFF"/>
        </w:rPr>
        <w:t> and </w:t>
      </w:r>
      <w:r w:rsidRPr="00E42B2F">
        <w:rPr>
          <w:rFonts w:ascii="Arial" w:hAnsi="Arial" w:cs="Arial"/>
          <w:i/>
          <w:iCs/>
          <w:color w:val="1C1D1E"/>
          <w:sz w:val="20"/>
          <w:szCs w:val="24"/>
          <w:shd w:val="clear" w:color="auto" w:fill="FFFFFF"/>
        </w:rPr>
        <w:t>PGF</w:t>
      </w:r>
      <w:r w:rsidRPr="00E42B2F">
        <w:rPr>
          <w:rFonts w:ascii="Arial" w:hAnsi="Arial" w:cs="Arial"/>
          <w:color w:val="1C1D1E"/>
          <w:sz w:val="20"/>
          <w:szCs w:val="24"/>
          <w:shd w:val="clear" w:color="auto" w:fill="FFFFFF"/>
        </w:rPr>
        <w:t>. Subsequently, only one cluster was identified by </w:t>
      </w:r>
      <w:proofErr w:type="spellStart"/>
      <w:r w:rsidRPr="00E42B2F">
        <w:rPr>
          <w:rStyle w:val="smallcaps"/>
          <w:rFonts w:ascii="Arial" w:hAnsi="Arial" w:cs="Arial"/>
          <w:smallCaps/>
          <w:color w:val="1C1D1E"/>
          <w:sz w:val="20"/>
          <w:szCs w:val="24"/>
          <w:shd w:val="clear" w:color="auto" w:fill="FFFFFF"/>
        </w:rPr>
        <w:t>mcode</w:t>
      </w:r>
      <w:proofErr w:type="spellEnd"/>
      <w:r w:rsidRPr="00E42B2F">
        <w:rPr>
          <w:rFonts w:ascii="Arial" w:hAnsi="Arial" w:cs="Arial"/>
          <w:color w:val="1C1D1E"/>
          <w:sz w:val="20"/>
          <w:szCs w:val="24"/>
          <w:shd w:val="clear" w:color="auto" w:fill="FFFFFF"/>
        </w:rPr>
        <w:t>, which consisted of six nodes (</w:t>
      </w:r>
      <w:r w:rsidRPr="00E42B2F">
        <w:rPr>
          <w:rFonts w:ascii="Arial" w:hAnsi="Arial" w:cs="Arial"/>
          <w:i/>
          <w:iCs/>
          <w:color w:val="1C1D1E"/>
          <w:sz w:val="20"/>
          <w:szCs w:val="24"/>
          <w:shd w:val="clear" w:color="auto" w:fill="FFFFFF"/>
        </w:rPr>
        <w:t>CXCL1</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CXCL2</w:t>
      </w:r>
      <w:proofErr w:type="gramStart"/>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PTGS2</w:t>
      </w:r>
      <w:proofErr w:type="gramEnd"/>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FOS</w:t>
      </w:r>
      <w:r w:rsidRPr="00E42B2F">
        <w:rPr>
          <w:rFonts w:ascii="Arial" w:hAnsi="Arial" w:cs="Arial"/>
          <w:color w:val="1C1D1E"/>
          <w:sz w:val="20"/>
          <w:szCs w:val="24"/>
          <w:shd w:val="clear" w:color="auto" w:fill="FFFFFF"/>
        </w:rPr>
        <w:t>,</w:t>
      </w:r>
      <w:r w:rsidRPr="00E42B2F">
        <w:rPr>
          <w:rFonts w:ascii="Arial" w:hAnsi="Arial" w:cs="Arial"/>
          <w:i/>
          <w:iCs/>
          <w:color w:val="1C1D1E"/>
          <w:sz w:val="20"/>
          <w:szCs w:val="24"/>
          <w:shd w:val="clear" w:color="auto" w:fill="FFFFFF"/>
        </w:rPr>
        <w:t> C3</w:t>
      </w:r>
      <w:r w:rsidRPr="00E42B2F">
        <w:rPr>
          <w:rFonts w:ascii="Arial" w:hAnsi="Arial" w:cs="Arial"/>
          <w:color w:val="1C1D1E"/>
          <w:sz w:val="20"/>
          <w:szCs w:val="24"/>
          <w:shd w:val="clear" w:color="auto" w:fill="FFFFFF"/>
        </w:rPr>
        <w:t> and </w:t>
      </w:r>
      <w:r w:rsidRPr="00E42B2F">
        <w:rPr>
          <w:rFonts w:ascii="Arial" w:hAnsi="Arial" w:cs="Arial"/>
          <w:i/>
          <w:iCs/>
          <w:color w:val="1C1D1E"/>
          <w:sz w:val="20"/>
          <w:szCs w:val="24"/>
          <w:shd w:val="clear" w:color="auto" w:fill="FFFFFF"/>
        </w:rPr>
        <w:t>PGF</w:t>
      </w:r>
      <w:r w:rsidRPr="00E42B2F">
        <w:rPr>
          <w:rFonts w:ascii="Arial" w:hAnsi="Arial" w:cs="Arial"/>
          <w:color w:val="1C1D1E"/>
          <w:sz w:val="20"/>
          <w:szCs w:val="24"/>
          <w:shd w:val="clear" w:color="auto" w:fill="FFFFFF"/>
        </w:rPr>
        <w:t>) and nine edges. </w:t>
      </w:r>
      <w:r w:rsidRPr="00E42B2F">
        <w:rPr>
          <w:rFonts w:ascii="Arial" w:hAnsi="Arial" w:cs="Arial"/>
          <w:i/>
          <w:iCs/>
          <w:color w:val="1C1D1E"/>
          <w:sz w:val="20"/>
          <w:szCs w:val="24"/>
          <w:shd w:val="clear" w:color="auto" w:fill="FFFFFF"/>
        </w:rPr>
        <w:t>PGF</w:t>
      </w:r>
      <w:r w:rsidRPr="00E42B2F">
        <w:rPr>
          <w:rFonts w:ascii="Arial" w:hAnsi="Arial" w:cs="Arial"/>
          <w:color w:val="1C1D1E"/>
          <w:sz w:val="20"/>
          <w:szCs w:val="24"/>
          <w:shd w:val="clear" w:color="auto" w:fill="FFFFFF"/>
        </w:rPr>
        <w:t xml:space="preserve"> was the seed gene in this cluster. In conclusion, the results of this data mining and integration should help in revealing new mechanisms and targets of </w:t>
      </w:r>
      <w:proofErr w:type="spellStart"/>
      <w:r w:rsidRPr="00E42B2F">
        <w:rPr>
          <w:rFonts w:ascii="Arial" w:hAnsi="Arial" w:cs="Arial"/>
          <w:color w:val="1C1D1E"/>
          <w:sz w:val="20"/>
          <w:szCs w:val="24"/>
          <w:shd w:val="clear" w:color="auto" w:fill="FFFFFF"/>
        </w:rPr>
        <w:t>sorafenib</w:t>
      </w:r>
      <w:proofErr w:type="spellEnd"/>
      <w:r w:rsidRPr="00E42B2F">
        <w:rPr>
          <w:rFonts w:ascii="Arial" w:hAnsi="Arial" w:cs="Arial"/>
          <w:color w:val="1C1D1E"/>
          <w:sz w:val="20"/>
          <w:szCs w:val="24"/>
          <w:shd w:val="clear" w:color="auto" w:fill="FFFFFF"/>
        </w:rPr>
        <w:t xml:space="preserve"> in inhibiting osteosarcoma.</w:t>
      </w:r>
    </w:p>
    <w:p w:rsidR="001C0B28" w:rsidRPr="00E42B2F" w:rsidRDefault="001C0B28" w:rsidP="00EE2E34">
      <w:pPr>
        <w:pStyle w:val="ListParagraph"/>
        <w:spacing w:line="360" w:lineRule="auto"/>
        <w:rPr>
          <w:sz w:val="20"/>
          <w:szCs w:val="24"/>
        </w:rPr>
      </w:pPr>
    </w:p>
    <w:p w:rsidR="00A26019" w:rsidRPr="00E42B2F" w:rsidRDefault="005B2FED" w:rsidP="00EE2E34">
      <w:pPr>
        <w:pStyle w:val="ListParagraph"/>
        <w:numPr>
          <w:ilvl w:val="0"/>
          <w:numId w:val="1"/>
        </w:numPr>
        <w:spacing w:line="360" w:lineRule="auto"/>
        <w:rPr>
          <w:b/>
          <w:sz w:val="22"/>
          <w:szCs w:val="28"/>
        </w:rPr>
      </w:pPr>
      <w:r w:rsidRPr="00E42B2F">
        <w:rPr>
          <w:b/>
          <w:sz w:val="22"/>
          <w:szCs w:val="28"/>
        </w:rPr>
        <w:lastRenderedPageBreak/>
        <w:t>POST: a framework for set-based association analysis in high-dimensional data.</w:t>
      </w:r>
      <w:r w:rsidR="00A26019" w:rsidRPr="00E42B2F">
        <w:rPr>
          <w:b/>
          <w:sz w:val="22"/>
          <w:szCs w:val="28"/>
        </w:rPr>
        <w:t xml:space="preserve"> Projection onto the Orthogonal Space Testing (POST)</w:t>
      </w:r>
    </w:p>
    <w:p w:rsidR="00A26019" w:rsidRPr="00E42B2F" w:rsidRDefault="00A26019" w:rsidP="00EE2E34">
      <w:pPr>
        <w:spacing w:line="360" w:lineRule="auto"/>
        <w:ind w:left="360"/>
        <w:rPr>
          <w:sz w:val="20"/>
          <w:szCs w:val="24"/>
        </w:rPr>
      </w:pPr>
      <w:r w:rsidRPr="00E42B2F">
        <w:rPr>
          <w:sz w:val="20"/>
          <w:szCs w:val="24"/>
        </w:rPr>
        <w:t>POST is a suitable for testing the association of gene-sets with many phenotypes.</w:t>
      </w:r>
    </w:p>
    <w:p w:rsidR="00A26019" w:rsidRPr="00E42B2F" w:rsidRDefault="00A26019" w:rsidP="00EE2E34">
      <w:pPr>
        <w:spacing w:line="360" w:lineRule="auto"/>
        <w:ind w:left="360"/>
        <w:rPr>
          <w:rFonts w:ascii="Arial" w:hAnsi="Arial" w:cs="Arial"/>
          <w:color w:val="505050"/>
          <w:sz w:val="20"/>
          <w:szCs w:val="24"/>
        </w:rPr>
      </w:pPr>
      <w:r w:rsidRPr="00E42B2F">
        <w:rPr>
          <w:rFonts w:ascii="Arial" w:hAnsi="Arial" w:cs="Arial"/>
          <w:color w:val="505050"/>
          <w:sz w:val="20"/>
          <w:szCs w:val="24"/>
        </w:rPr>
        <w:t xml:space="preserve">POST </w:t>
      </w:r>
      <w:r w:rsidRPr="00E42B2F">
        <w:rPr>
          <w:rFonts w:ascii="Arial" w:hAnsi="Arial" w:cs="Arial"/>
          <w:color w:val="505050"/>
          <w:sz w:val="20"/>
          <w:szCs w:val="24"/>
        </w:rPr>
        <w:t>is proposed as a general procedure that can robustly evaluate the association of a gene-set with several different types of phenotypic data (categorical, ordinal, continuous, or censored). For each gene-set, POST transforms the gene profiles into a set of eigenvectors and then uses statistical modeling to compute a set of z-statistics that measure the association of each eigenvector with the phenotype. The overall gene-set statistic is the sum of squared z-statistics weighted by the corresponding eigenvalues. Finally, bootstrapping is used to compute a </w:t>
      </w:r>
      <w:r w:rsidRPr="00E42B2F">
        <w:rPr>
          <w:rStyle w:val="Emphasis"/>
          <w:rFonts w:ascii="Arial" w:hAnsi="Arial" w:cs="Arial"/>
          <w:color w:val="505050"/>
          <w:sz w:val="20"/>
          <w:szCs w:val="24"/>
        </w:rPr>
        <w:t>p</w:t>
      </w:r>
      <w:r w:rsidRPr="00E42B2F">
        <w:rPr>
          <w:rFonts w:ascii="Arial" w:hAnsi="Arial" w:cs="Arial"/>
          <w:color w:val="505050"/>
          <w:sz w:val="20"/>
          <w:szCs w:val="24"/>
        </w:rPr>
        <w:t>-value. POST may evaluate associations with or without adjustment for covariates.</w:t>
      </w:r>
    </w:p>
    <w:p w:rsidR="00A26019" w:rsidRPr="00E42B2F" w:rsidRDefault="00A26019" w:rsidP="00EE2E34">
      <w:pPr>
        <w:spacing w:line="360" w:lineRule="auto"/>
        <w:ind w:left="360"/>
        <w:rPr>
          <w:rFonts w:ascii="Arial" w:hAnsi="Arial" w:cs="Arial"/>
          <w:color w:val="505050"/>
          <w:sz w:val="20"/>
          <w:szCs w:val="24"/>
        </w:rPr>
      </w:pPr>
      <w:r w:rsidRPr="00E42B2F">
        <w:rPr>
          <w:rFonts w:ascii="Arial" w:hAnsi="Arial" w:cs="Arial"/>
          <w:color w:val="505050"/>
          <w:sz w:val="20"/>
          <w:szCs w:val="24"/>
        </w:rPr>
        <w:t>In evaluating the association of 875 biological processes with the time to relapse of pediatric acute </w:t>
      </w:r>
      <w:hyperlink r:id="rId13" w:tooltip="Learn more about Myeloid" w:history="1">
        <w:r w:rsidRPr="00E42B2F">
          <w:rPr>
            <w:rStyle w:val="Hyperlink"/>
            <w:rFonts w:ascii="Arial" w:hAnsi="Arial" w:cs="Arial"/>
            <w:color w:val="007398"/>
            <w:sz w:val="20"/>
            <w:szCs w:val="24"/>
          </w:rPr>
          <w:t>myeloid</w:t>
        </w:r>
      </w:hyperlink>
      <w:r w:rsidRPr="00E42B2F">
        <w:rPr>
          <w:rFonts w:ascii="Arial" w:hAnsi="Arial" w:cs="Arial"/>
          <w:color w:val="505050"/>
          <w:sz w:val="20"/>
          <w:szCs w:val="24"/>
        </w:rPr>
        <w:t> leukemia, POST identified the well-known </w:t>
      </w:r>
      <w:hyperlink r:id="rId14" w:tooltip="Learn more about Carcinogenesis" w:history="1">
        <w:r w:rsidRPr="00E42B2F">
          <w:rPr>
            <w:rStyle w:val="Hyperlink"/>
            <w:rFonts w:ascii="Arial" w:hAnsi="Arial" w:cs="Arial"/>
            <w:color w:val="007398"/>
            <w:sz w:val="20"/>
            <w:szCs w:val="24"/>
          </w:rPr>
          <w:t>oncogenic</w:t>
        </w:r>
      </w:hyperlink>
      <w:r w:rsidRPr="00E42B2F">
        <w:rPr>
          <w:rFonts w:ascii="Arial" w:hAnsi="Arial" w:cs="Arial"/>
          <w:color w:val="505050"/>
          <w:sz w:val="20"/>
          <w:szCs w:val="24"/>
        </w:rPr>
        <w:t> WNT </w:t>
      </w:r>
      <w:hyperlink r:id="rId15" w:tooltip="Learn more about Signal transduction" w:history="1">
        <w:r w:rsidRPr="00E42B2F">
          <w:rPr>
            <w:rStyle w:val="Hyperlink"/>
            <w:rFonts w:ascii="Arial" w:hAnsi="Arial" w:cs="Arial"/>
            <w:color w:val="007398"/>
            <w:sz w:val="20"/>
            <w:szCs w:val="24"/>
          </w:rPr>
          <w:t>signaling pathway</w:t>
        </w:r>
      </w:hyperlink>
      <w:r w:rsidRPr="00E42B2F">
        <w:rPr>
          <w:rFonts w:ascii="Arial" w:hAnsi="Arial" w:cs="Arial"/>
          <w:color w:val="505050"/>
          <w:sz w:val="20"/>
          <w:szCs w:val="24"/>
        </w:rPr>
        <w:t> as its top hit. These results indicate that POST can be a very useful tool for evaluating the association of a gene-set with a variety of different phenotypes.</w:t>
      </w:r>
      <w:r w:rsidRPr="00E42B2F">
        <w:rPr>
          <w:rFonts w:ascii="Arial" w:hAnsi="Arial" w:cs="Arial"/>
          <w:color w:val="505050"/>
          <w:sz w:val="20"/>
          <w:szCs w:val="24"/>
        </w:rPr>
        <w:t xml:space="preserve"> </w:t>
      </w:r>
      <w:r w:rsidRPr="00E42B2F">
        <w:rPr>
          <w:rFonts w:ascii="Arial" w:hAnsi="Arial" w:cs="Arial"/>
          <w:color w:val="505050"/>
          <w:sz w:val="20"/>
          <w:szCs w:val="24"/>
        </w:rPr>
        <w:t>We have developed an R package named POST which is freely available in </w:t>
      </w:r>
      <w:hyperlink r:id="rId16" w:tooltip="Learn more about Bioconductor" w:history="1">
        <w:r w:rsidRPr="00E42B2F">
          <w:rPr>
            <w:rStyle w:val="Hyperlink"/>
            <w:rFonts w:ascii="Arial" w:hAnsi="Arial" w:cs="Arial"/>
            <w:color w:val="007398"/>
            <w:sz w:val="20"/>
            <w:szCs w:val="24"/>
          </w:rPr>
          <w:t>Bioconductor</w:t>
        </w:r>
      </w:hyperlink>
      <w:r w:rsidRPr="00E42B2F">
        <w:rPr>
          <w:rFonts w:ascii="Arial" w:hAnsi="Arial" w:cs="Arial"/>
          <w:color w:val="505050"/>
          <w:sz w:val="20"/>
          <w:szCs w:val="24"/>
        </w:rPr>
        <w:t>.</w:t>
      </w:r>
    </w:p>
    <w:p w:rsidR="00A26019" w:rsidRPr="00E42B2F" w:rsidRDefault="00A26019" w:rsidP="00EE2E34">
      <w:pPr>
        <w:spacing w:line="360" w:lineRule="auto"/>
        <w:ind w:left="360"/>
        <w:rPr>
          <w:sz w:val="14"/>
          <w:szCs w:val="18"/>
        </w:rPr>
      </w:pPr>
      <w:hyperlink r:id="rId17" w:history="1">
        <w:r w:rsidRPr="00E42B2F">
          <w:rPr>
            <w:rStyle w:val="Hyperlink"/>
            <w:sz w:val="14"/>
            <w:szCs w:val="18"/>
          </w:rPr>
          <w:t>https://www.sciencedirect.com/science/article/pii/S1046202317304978?via%3Dihub</w:t>
        </w:r>
      </w:hyperlink>
      <w:r w:rsidRPr="00E42B2F">
        <w:rPr>
          <w:sz w:val="14"/>
          <w:szCs w:val="18"/>
        </w:rPr>
        <w:t xml:space="preserve"> </w:t>
      </w:r>
    </w:p>
    <w:p w:rsidR="00A26019" w:rsidRPr="00E42B2F" w:rsidRDefault="00A26019" w:rsidP="00EE2E34">
      <w:pPr>
        <w:pStyle w:val="ListParagraph"/>
        <w:spacing w:line="360" w:lineRule="auto"/>
        <w:ind w:left="360"/>
        <w:rPr>
          <w:sz w:val="20"/>
          <w:szCs w:val="24"/>
        </w:rPr>
      </w:pPr>
    </w:p>
    <w:p w:rsidR="005B2FED" w:rsidRPr="00E42B2F" w:rsidRDefault="005B2FED" w:rsidP="00EE2E34">
      <w:pPr>
        <w:pStyle w:val="ListParagraph"/>
        <w:numPr>
          <w:ilvl w:val="0"/>
          <w:numId w:val="1"/>
        </w:numPr>
        <w:spacing w:line="360" w:lineRule="auto"/>
        <w:rPr>
          <w:b/>
          <w:sz w:val="22"/>
          <w:szCs w:val="28"/>
        </w:rPr>
      </w:pPr>
      <w:proofErr w:type="spellStart"/>
      <w:proofErr w:type="gramStart"/>
      <w:r w:rsidRPr="00E42B2F">
        <w:rPr>
          <w:b/>
          <w:sz w:val="22"/>
          <w:szCs w:val="28"/>
        </w:rPr>
        <w:t>bcSeq</w:t>
      </w:r>
      <w:proofErr w:type="spellEnd"/>
      <w:proofErr w:type="gramEnd"/>
      <w:r w:rsidRPr="00E42B2F">
        <w:rPr>
          <w:b/>
          <w:sz w:val="22"/>
          <w:szCs w:val="28"/>
        </w:rPr>
        <w:t>: An R Package for Fast Sequence Mapping in High-throughput shRNA and CRISPR Screens.</w:t>
      </w:r>
    </w:p>
    <w:p w:rsidR="00A26019" w:rsidRPr="00E42B2F" w:rsidRDefault="00A26019" w:rsidP="00EE2E34">
      <w:pPr>
        <w:pStyle w:val="ListParagraph"/>
        <w:spacing w:line="360" w:lineRule="auto"/>
        <w:ind w:left="360"/>
        <w:rPr>
          <w:b/>
          <w:bCs/>
          <w:sz w:val="20"/>
          <w:szCs w:val="24"/>
        </w:rPr>
      </w:pPr>
      <w:r w:rsidRPr="00E42B2F">
        <w:rPr>
          <w:b/>
          <w:bCs/>
          <w:sz w:val="20"/>
          <w:szCs w:val="24"/>
        </w:rPr>
        <w:t>Abstract</w:t>
      </w:r>
    </w:p>
    <w:p w:rsidR="00A26019" w:rsidRPr="00E42B2F" w:rsidRDefault="00A26019" w:rsidP="00EE2E34">
      <w:pPr>
        <w:pStyle w:val="ListParagraph"/>
        <w:spacing w:line="360" w:lineRule="auto"/>
        <w:ind w:left="360"/>
        <w:rPr>
          <w:bCs/>
          <w:sz w:val="20"/>
          <w:szCs w:val="24"/>
        </w:rPr>
      </w:pPr>
      <w:r w:rsidRPr="00E42B2F">
        <w:rPr>
          <w:bCs/>
          <w:sz w:val="20"/>
          <w:szCs w:val="24"/>
        </w:rPr>
        <w:t xml:space="preserve">CRISPR-Cas9 and shRNA high-throughput sequencing screens have abundant applications for basic and translational research. Methods and tools for the analysis of these screens must properly account for sequencing error, resolve ambiguous mappings among similar sequences in the barcode library in a statistically principled manner, and be computationally efficient. </w:t>
      </w:r>
      <w:proofErr w:type="spellStart"/>
      <w:r w:rsidRPr="00E42B2F">
        <w:rPr>
          <w:bCs/>
          <w:sz w:val="20"/>
          <w:szCs w:val="24"/>
          <w:highlight w:val="lightGray"/>
        </w:rPr>
        <w:t>bcSeq</w:t>
      </w:r>
      <w:proofErr w:type="spellEnd"/>
      <w:r w:rsidRPr="00E42B2F">
        <w:rPr>
          <w:bCs/>
          <w:sz w:val="20"/>
          <w:szCs w:val="24"/>
        </w:rPr>
        <w:t xml:space="preserve">, an open source R package that implements a fast and parallelized algorithm for mapping high-throughput sequencing reads to a barcode library while tolerating sequencing error. The algorithm uses a </w:t>
      </w:r>
      <w:proofErr w:type="spellStart"/>
      <w:r w:rsidRPr="00E42B2F">
        <w:rPr>
          <w:bCs/>
          <w:sz w:val="20"/>
          <w:szCs w:val="24"/>
        </w:rPr>
        <w:t>Trie</w:t>
      </w:r>
      <w:proofErr w:type="spellEnd"/>
      <w:r w:rsidRPr="00E42B2F">
        <w:rPr>
          <w:bCs/>
          <w:sz w:val="20"/>
          <w:szCs w:val="24"/>
        </w:rPr>
        <w:t xml:space="preserve"> data structure for speed and resolves ambiguous mappings by using a statistical sequencing error model based on </w:t>
      </w:r>
      <w:proofErr w:type="spellStart"/>
      <w:r w:rsidRPr="00E42B2F">
        <w:rPr>
          <w:bCs/>
          <w:sz w:val="20"/>
          <w:szCs w:val="24"/>
        </w:rPr>
        <w:t>Phred</w:t>
      </w:r>
      <w:proofErr w:type="spellEnd"/>
      <w:r w:rsidRPr="00E42B2F">
        <w:rPr>
          <w:bCs/>
          <w:sz w:val="20"/>
          <w:szCs w:val="24"/>
        </w:rPr>
        <w:t xml:space="preserve"> scores for each read.</w:t>
      </w:r>
    </w:p>
    <w:p w:rsidR="00A26019" w:rsidRPr="00E42B2F" w:rsidRDefault="00A26019" w:rsidP="00EE2E34">
      <w:pPr>
        <w:pStyle w:val="ListParagraph"/>
        <w:spacing w:line="360" w:lineRule="auto"/>
        <w:ind w:left="360"/>
        <w:rPr>
          <w:bCs/>
          <w:sz w:val="14"/>
          <w:szCs w:val="18"/>
        </w:rPr>
      </w:pPr>
      <w:hyperlink r:id="rId18" w:history="1">
        <w:r w:rsidRPr="00E42B2F">
          <w:rPr>
            <w:rStyle w:val="Hyperlink"/>
            <w:bCs/>
            <w:sz w:val="14"/>
            <w:szCs w:val="18"/>
          </w:rPr>
          <w:t>https://academic.oup.com/bioinformatics/advance-article/doi/10.1093/bioinformatics/bty402/5001385</w:t>
        </w:r>
      </w:hyperlink>
      <w:r w:rsidRPr="00E42B2F">
        <w:rPr>
          <w:bCs/>
          <w:sz w:val="14"/>
          <w:szCs w:val="18"/>
        </w:rPr>
        <w:t xml:space="preserve"> </w:t>
      </w:r>
    </w:p>
    <w:p w:rsidR="00A26019" w:rsidRPr="00E42B2F" w:rsidRDefault="00A26019" w:rsidP="00EE2E34">
      <w:pPr>
        <w:pStyle w:val="ListParagraph"/>
        <w:spacing w:line="360" w:lineRule="auto"/>
        <w:ind w:left="360"/>
        <w:rPr>
          <w:sz w:val="14"/>
          <w:szCs w:val="18"/>
        </w:rPr>
      </w:pPr>
      <w:hyperlink r:id="rId19" w:history="1">
        <w:r w:rsidRPr="00E42B2F">
          <w:rPr>
            <w:rStyle w:val="Hyperlink"/>
            <w:rFonts w:ascii="Arial" w:hAnsi="Arial" w:cs="Arial"/>
            <w:sz w:val="14"/>
            <w:szCs w:val="18"/>
            <w:shd w:val="clear" w:color="auto" w:fill="FFFFFF"/>
          </w:rPr>
          <w:t>http://bioconductor.org/packages/bcSeq/</w:t>
        </w:r>
      </w:hyperlink>
      <w:r w:rsidRPr="00E42B2F">
        <w:rPr>
          <w:rFonts w:ascii="Arial" w:hAnsi="Arial" w:cs="Arial"/>
          <w:color w:val="000000"/>
          <w:sz w:val="14"/>
          <w:szCs w:val="18"/>
          <w:shd w:val="clear" w:color="auto" w:fill="FFFFFF"/>
        </w:rPr>
        <w:t>.</w:t>
      </w:r>
      <w:r w:rsidRPr="00E42B2F">
        <w:rPr>
          <w:rFonts w:ascii="Arial" w:hAnsi="Arial" w:cs="Arial"/>
          <w:color w:val="000000"/>
          <w:sz w:val="14"/>
          <w:szCs w:val="18"/>
          <w:shd w:val="clear" w:color="auto" w:fill="FFFFFF"/>
        </w:rPr>
        <w:t xml:space="preserve"> </w:t>
      </w:r>
    </w:p>
    <w:p w:rsidR="005B2FED" w:rsidRPr="00E42B2F" w:rsidRDefault="005B2FED" w:rsidP="00EE2E34">
      <w:pPr>
        <w:pStyle w:val="ListParagraph"/>
        <w:numPr>
          <w:ilvl w:val="0"/>
          <w:numId w:val="1"/>
        </w:numPr>
        <w:spacing w:line="360" w:lineRule="auto"/>
        <w:rPr>
          <w:sz w:val="20"/>
          <w:szCs w:val="24"/>
        </w:rPr>
      </w:pPr>
      <w:r w:rsidRPr="00E42B2F">
        <w:rPr>
          <w:b/>
          <w:sz w:val="22"/>
          <w:szCs w:val="28"/>
        </w:rPr>
        <w:t xml:space="preserve">Using meshes for </w:t>
      </w:r>
      <w:proofErr w:type="spellStart"/>
      <w:r w:rsidRPr="00E42B2F">
        <w:rPr>
          <w:b/>
          <w:sz w:val="22"/>
          <w:szCs w:val="28"/>
        </w:rPr>
        <w:t>MeSH</w:t>
      </w:r>
      <w:proofErr w:type="spellEnd"/>
      <w:r w:rsidRPr="00E42B2F">
        <w:rPr>
          <w:b/>
          <w:sz w:val="22"/>
          <w:szCs w:val="28"/>
        </w:rPr>
        <w:t xml:space="preserve"> term enrichment and semantic analyses</w:t>
      </w:r>
      <w:r w:rsidRPr="00E42B2F">
        <w:rPr>
          <w:sz w:val="20"/>
          <w:szCs w:val="24"/>
        </w:rPr>
        <w:t>.</w:t>
      </w:r>
    </w:p>
    <w:p w:rsidR="00A26019" w:rsidRPr="00E42B2F" w:rsidRDefault="00A26019" w:rsidP="00EE2E34">
      <w:pPr>
        <w:pStyle w:val="ListParagraph"/>
        <w:spacing w:line="360" w:lineRule="auto"/>
        <w:ind w:left="360"/>
        <w:rPr>
          <w:sz w:val="20"/>
          <w:szCs w:val="24"/>
        </w:rPr>
      </w:pPr>
      <w:proofErr w:type="spellStart"/>
      <w:r w:rsidRPr="00E42B2F">
        <w:rPr>
          <w:sz w:val="20"/>
          <w:szCs w:val="24"/>
        </w:rPr>
        <w:t>MeSH</w:t>
      </w:r>
      <w:proofErr w:type="spellEnd"/>
      <w:r w:rsidRPr="00E42B2F">
        <w:rPr>
          <w:sz w:val="20"/>
          <w:szCs w:val="24"/>
        </w:rPr>
        <w:t xml:space="preserve"> (Medical Subject Headings) is the NLM controlled vocabulary used to manually index articles for MEDLINE/PubMed. </w:t>
      </w:r>
      <w:proofErr w:type="spellStart"/>
      <w:r w:rsidRPr="00E42B2F">
        <w:rPr>
          <w:sz w:val="20"/>
          <w:szCs w:val="24"/>
        </w:rPr>
        <w:t>MeSH</w:t>
      </w:r>
      <w:proofErr w:type="spellEnd"/>
      <w:r w:rsidRPr="00E42B2F">
        <w:rPr>
          <w:sz w:val="20"/>
          <w:szCs w:val="24"/>
        </w:rPr>
        <w:t xml:space="preserve"> terms were associated by </w:t>
      </w:r>
      <w:proofErr w:type="spellStart"/>
      <w:r w:rsidRPr="00E42B2F">
        <w:rPr>
          <w:sz w:val="20"/>
          <w:szCs w:val="24"/>
        </w:rPr>
        <w:t>Entrez</w:t>
      </w:r>
      <w:proofErr w:type="spellEnd"/>
      <w:r w:rsidRPr="00E42B2F">
        <w:rPr>
          <w:sz w:val="20"/>
          <w:szCs w:val="24"/>
        </w:rPr>
        <w:t xml:space="preserve"> Gene ID by three methods, </w:t>
      </w:r>
      <w:proofErr w:type="spellStart"/>
      <w:r w:rsidRPr="00E42B2F">
        <w:rPr>
          <w:sz w:val="20"/>
          <w:szCs w:val="24"/>
        </w:rPr>
        <w:t>gendoo</w:t>
      </w:r>
      <w:proofErr w:type="spellEnd"/>
      <w:r w:rsidRPr="00E42B2F">
        <w:rPr>
          <w:sz w:val="20"/>
          <w:szCs w:val="24"/>
        </w:rPr>
        <w:t xml:space="preserve">, gene2pubmed and RBBH. This association is fundamental for enrichment and semantic analyses. </w:t>
      </w:r>
      <w:proofErr w:type="gramStart"/>
      <w:r w:rsidRPr="00E42B2F">
        <w:rPr>
          <w:sz w:val="20"/>
          <w:szCs w:val="24"/>
        </w:rPr>
        <w:t>meshes</w:t>
      </w:r>
      <w:proofErr w:type="gramEnd"/>
      <w:r w:rsidRPr="00E42B2F">
        <w:rPr>
          <w:sz w:val="20"/>
          <w:szCs w:val="24"/>
        </w:rPr>
        <w:t xml:space="preserve"> supports enrichment analysis (over-representation and gene set enrichment analysis) of gene </w:t>
      </w:r>
      <w:r w:rsidRPr="00E42B2F">
        <w:rPr>
          <w:sz w:val="20"/>
          <w:szCs w:val="24"/>
        </w:rPr>
        <w:lastRenderedPageBreak/>
        <w:t xml:space="preserve">list or whole expression profile. </w:t>
      </w:r>
      <w:proofErr w:type="gramStart"/>
      <w:r w:rsidRPr="00E42B2F">
        <w:rPr>
          <w:sz w:val="20"/>
          <w:szCs w:val="24"/>
        </w:rPr>
        <w:t>Meshes supports</w:t>
      </w:r>
      <w:proofErr w:type="gramEnd"/>
      <w:r w:rsidRPr="00E42B2F">
        <w:rPr>
          <w:sz w:val="20"/>
          <w:szCs w:val="24"/>
        </w:rPr>
        <w:t xml:space="preserve"> more than 70 species and provides high quality visualization methods to help interpreting analysis results.</w:t>
      </w:r>
    </w:p>
    <w:p w:rsidR="00A26019" w:rsidRPr="00E42B2F" w:rsidRDefault="00A26019" w:rsidP="00EE2E34">
      <w:pPr>
        <w:pStyle w:val="ListParagraph"/>
        <w:spacing w:line="360" w:lineRule="auto"/>
        <w:ind w:left="360"/>
        <w:rPr>
          <w:b/>
          <w:sz w:val="20"/>
          <w:szCs w:val="24"/>
        </w:rPr>
      </w:pPr>
      <w:r w:rsidRPr="00E42B2F">
        <w:rPr>
          <w:b/>
          <w:sz w:val="20"/>
          <w:szCs w:val="24"/>
        </w:rPr>
        <w:t>Availability</w:t>
      </w:r>
    </w:p>
    <w:p w:rsidR="00A81808" w:rsidRPr="00E42B2F" w:rsidRDefault="00A26019" w:rsidP="00EE2E34">
      <w:pPr>
        <w:pStyle w:val="ListParagraph"/>
        <w:spacing w:line="360" w:lineRule="auto"/>
        <w:ind w:left="360"/>
        <w:rPr>
          <w:sz w:val="20"/>
          <w:szCs w:val="24"/>
        </w:rPr>
      </w:pPr>
      <w:proofErr w:type="gramStart"/>
      <w:r w:rsidRPr="00E42B2F">
        <w:rPr>
          <w:sz w:val="20"/>
          <w:szCs w:val="24"/>
        </w:rPr>
        <w:t>meshes</w:t>
      </w:r>
      <w:proofErr w:type="gramEnd"/>
      <w:r w:rsidRPr="00E42B2F">
        <w:rPr>
          <w:sz w:val="20"/>
          <w:szCs w:val="24"/>
        </w:rPr>
        <w:t xml:space="preserve"> is released under Artistic-2.0 License. The source code and documents are freely available through Bioconductor </w:t>
      </w:r>
    </w:p>
    <w:p w:rsidR="00A26019" w:rsidRPr="00E42B2F" w:rsidRDefault="005C354F" w:rsidP="00EE2E34">
      <w:pPr>
        <w:pStyle w:val="ListParagraph"/>
        <w:spacing w:line="360" w:lineRule="auto"/>
        <w:ind w:left="360"/>
        <w:rPr>
          <w:sz w:val="14"/>
          <w:szCs w:val="24"/>
        </w:rPr>
      </w:pPr>
      <w:hyperlink r:id="rId20" w:history="1">
        <w:r w:rsidRPr="00E42B2F">
          <w:rPr>
            <w:rStyle w:val="Hyperlink"/>
            <w:sz w:val="14"/>
            <w:szCs w:val="24"/>
          </w:rPr>
          <w:t>https://www.bioconductor.org/packages/meshes</w:t>
        </w:r>
      </w:hyperlink>
    </w:p>
    <w:p w:rsidR="005C354F" w:rsidRPr="00E42B2F" w:rsidRDefault="005C354F" w:rsidP="00EE2E34">
      <w:pPr>
        <w:pStyle w:val="ListParagraph"/>
        <w:spacing w:line="360" w:lineRule="auto"/>
        <w:ind w:left="360"/>
        <w:rPr>
          <w:sz w:val="20"/>
          <w:szCs w:val="24"/>
        </w:rPr>
      </w:pPr>
      <w:hyperlink r:id="rId21" w:history="1">
        <w:r w:rsidRPr="00E42B2F">
          <w:rPr>
            <w:rStyle w:val="Hyperlink"/>
            <w:sz w:val="14"/>
            <w:szCs w:val="24"/>
          </w:rPr>
          <w:t>https://academic.oup.com/bioinformatics/advance-article/doi/10.1093/bioinformatics/bty410/5001391</w:t>
        </w:r>
      </w:hyperlink>
      <w:r w:rsidRPr="00E42B2F">
        <w:rPr>
          <w:sz w:val="20"/>
          <w:szCs w:val="24"/>
        </w:rPr>
        <w:t xml:space="preserve"> </w:t>
      </w:r>
    </w:p>
    <w:p w:rsidR="00EE2E34" w:rsidRPr="00E42B2F" w:rsidRDefault="00EE2E34" w:rsidP="00EE2E34">
      <w:pPr>
        <w:pStyle w:val="ListParagraph"/>
        <w:spacing w:line="360" w:lineRule="auto"/>
        <w:ind w:left="360"/>
        <w:rPr>
          <w:sz w:val="20"/>
          <w:szCs w:val="24"/>
        </w:rPr>
      </w:pPr>
    </w:p>
    <w:p w:rsidR="005B2FED" w:rsidRPr="00E42B2F" w:rsidRDefault="005B2FED" w:rsidP="00EE2E34">
      <w:pPr>
        <w:pStyle w:val="ListParagraph"/>
        <w:numPr>
          <w:ilvl w:val="0"/>
          <w:numId w:val="1"/>
        </w:numPr>
        <w:spacing w:line="360" w:lineRule="auto"/>
        <w:rPr>
          <w:b/>
          <w:sz w:val="22"/>
          <w:szCs w:val="28"/>
        </w:rPr>
      </w:pPr>
      <w:proofErr w:type="spellStart"/>
      <w:r w:rsidRPr="00E42B2F">
        <w:rPr>
          <w:b/>
          <w:sz w:val="22"/>
          <w:szCs w:val="28"/>
        </w:rPr>
        <w:t>RnaSeqSampleSize</w:t>
      </w:r>
      <w:proofErr w:type="spellEnd"/>
      <w:r w:rsidRPr="00E42B2F">
        <w:rPr>
          <w:b/>
          <w:sz w:val="22"/>
          <w:szCs w:val="28"/>
        </w:rPr>
        <w:t>: real data based sample size estimation for RNA sequencing.</w:t>
      </w:r>
    </w:p>
    <w:p w:rsidR="005C354F" w:rsidRPr="00E42B2F" w:rsidRDefault="005C354F" w:rsidP="00EE2E34">
      <w:pPr>
        <w:pStyle w:val="Heading3"/>
        <w:shd w:val="clear" w:color="auto" w:fill="FFFFFF"/>
        <w:spacing w:before="0" w:beforeAutospacing="0" w:after="0" w:afterAutospacing="0" w:line="360" w:lineRule="auto"/>
        <w:ind w:left="360"/>
        <w:rPr>
          <w:rFonts w:ascii="Arial" w:hAnsi="Arial" w:cs="Arial"/>
          <w:b w:val="0"/>
          <w:color w:val="985735"/>
          <w:sz w:val="20"/>
          <w:szCs w:val="24"/>
        </w:rPr>
      </w:pPr>
      <w:r w:rsidRPr="00E42B2F">
        <w:rPr>
          <w:rFonts w:ascii="Arial" w:hAnsi="Arial" w:cs="Arial"/>
          <w:b w:val="0"/>
          <w:color w:val="985735"/>
          <w:sz w:val="20"/>
          <w:szCs w:val="24"/>
        </w:rPr>
        <w:t>Abstract</w:t>
      </w:r>
    </w:p>
    <w:p w:rsidR="005C354F" w:rsidRPr="00E42B2F" w:rsidRDefault="005C354F" w:rsidP="00EE2E34">
      <w:pPr>
        <w:pStyle w:val="Heading4"/>
        <w:shd w:val="clear" w:color="auto" w:fill="FFFFFF"/>
        <w:spacing w:before="0" w:line="360" w:lineRule="auto"/>
        <w:ind w:left="360" w:right="60"/>
        <w:rPr>
          <w:rFonts w:ascii="Arial" w:hAnsi="Arial" w:cs="Arial"/>
          <w:b w:val="0"/>
          <w:caps/>
          <w:color w:val="000000"/>
          <w:sz w:val="20"/>
          <w:szCs w:val="24"/>
        </w:rPr>
      </w:pPr>
      <w:r w:rsidRPr="00E42B2F">
        <w:rPr>
          <w:rFonts w:ascii="Arial" w:hAnsi="Arial" w:cs="Arial"/>
          <w:b w:val="0"/>
          <w:caps/>
          <w:color w:val="000000"/>
          <w:sz w:val="20"/>
          <w:szCs w:val="24"/>
        </w:rPr>
        <w:t>BACKGROUND:</w:t>
      </w:r>
    </w:p>
    <w:p w:rsidR="005C354F" w:rsidRPr="00E42B2F" w:rsidRDefault="005C354F" w:rsidP="00EE2E34">
      <w:pPr>
        <w:pStyle w:val="NormalWeb"/>
        <w:shd w:val="clear" w:color="auto" w:fill="FFFFFF"/>
        <w:spacing w:before="0" w:beforeAutospacing="0" w:after="120" w:afterAutospacing="0" w:line="360" w:lineRule="auto"/>
        <w:ind w:left="360"/>
        <w:rPr>
          <w:rFonts w:ascii="Arial" w:hAnsi="Arial" w:cs="Arial"/>
          <w:color w:val="000000"/>
          <w:sz w:val="20"/>
        </w:rPr>
      </w:pPr>
      <w:r w:rsidRPr="00E42B2F">
        <w:rPr>
          <w:rFonts w:ascii="Arial" w:hAnsi="Arial" w:cs="Arial"/>
          <w:color w:val="000000"/>
          <w:sz w:val="20"/>
        </w:rPr>
        <w:t xml:space="preserve">One of the most important and often neglected components of a successful RNA sequencing (RNA-Seq) experiment is sample size estimation. A few negative binomial model-based methods have been developed to estimate sample size based on the parameters of a single gene. However, thousands of genes are quantified and tested for differential expression simultaneously in RNA-Seq experiments. Thus, additional issues should be carefully </w:t>
      </w:r>
      <w:proofErr w:type="gramStart"/>
      <w:r w:rsidRPr="00E42B2F">
        <w:rPr>
          <w:rFonts w:ascii="Arial" w:hAnsi="Arial" w:cs="Arial"/>
          <w:color w:val="000000"/>
          <w:sz w:val="20"/>
        </w:rPr>
        <w:t>addressed,</w:t>
      </w:r>
      <w:proofErr w:type="gramEnd"/>
      <w:r w:rsidRPr="00E42B2F">
        <w:rPr>
          <w:rFonts w:ascii="Arial" w:hAnsi="Arial" w:cs="Arial"/>
          <w:color w:val="000000"/>
          <w:sz w:val="20"/>
        </w:rPr>
        <w:t xml:space="preserve"> including the false discovery rate for multiple statistic tests, widely distributed read counts and dispersions for different genes.</w:t>
      </w:r>
    </w:p>
    <w:p w:rsidR="005C354F" w:rsidRPr="00E42B2F" w:rsidRDefault="005C354F" w:rsidP="00EE2E34">
      <w:pPr>
        <w:pStyle w:val="Heading4"/>
        <w:shd w:val="clear" w:color="auto" w:fill="FFFFFF"/>
        <w:spacing w:before="0" w:line="360" w:lineRule="auto"/>
        <w:ind w:left="360" w:right="60"/>
        <w:rPr>
          <w:rFonts w:ascii="Arial" w:hAnsi="Arial" w:cs="Arial"/>
          <w:b w:val="0"/>
          <w:caps/>
          <w:color w:val="000000"/>
          <w:sz w:val="20"/>
          <w:szCs w:val="24"/>
        </w:rPr>
      </w:pPr>
      <w:r w:rsidRPr="00E42B2F">
        <w:rPr>
          <w:rFonts w:ascii="Arial" w:hAnsi="Arial" w:cs="Arial"/>
          <w:b w:val="0"/>
          <w:caps/>
          <w:color w:val="000000"/>
          <w:sz w:val="20"/>
          <w:szCs w:val="24"/>
        </w:rPr>
        <w:t>RESULTS:</w:t>
      </w:r>
    </w:p>
    <w:p w:rsidR="005C354F" w:rsidRPr="00E42B2F" w:rsidRDefault="005C354F" w:rsidP="00EE2E34">
      <w:pPr>
        <w:pStyle w:val="NormalWeb"/>
        <w:shd w:val="clear" w:color="auto" w:fill="FFFFFF"/>
        <w:spacing w:before="0" w:beforeAutospacing="0" w:after="120" w:afterAutospacing="0" w:line="360" w:lineRule="auto"/>
        <w:ind w:left="360"/>
        <w:rPr>
          <w:rFonts w:ascii="Arial" w:hAnsi="Arial" w:cs="Arial"/>
          <w:color w:val="000000"/>
          <w:sz w:val="20"/>
        </w:rPr>
      </w:pPr>
      <w:r w:rsidRPr="00E42B2F">
        <w:rPr>
          <w:rFonts w:ascii="Arial" w:hAnsi="Arial" w:cs="Arial"/>
          <w:color w:val="000000"/>
          <w:sz w:val="20"/>
        </w:rPr>
        <w:t xml:space="preserve">To solve these issues, we developed a sample size and power estimation method named </w:t>
      </w:r>
      <w:proofErr w:type="spellStart"/>
      <w:r w:rsidRPr="00E42B2F">
        <w:rPr>
          <w:rFonts w:ascii="Arial" w:hAnsi="Arial" w:cs="Arial"/>
          <w:color w:val="000000"/>
          <w:sz w:val="20"/>
        </w:rPr>
        <w:t>RnaSeqSampleSize</w:t>
      </w:r>
      <w:proofErr w:type="spellEnd"/>
      <w:r w:rsidRPr="00E42B2F">
        <w:rPr>
          <w:rFonts w:ascii="Arial" w:hAnsi="Arial" w:cs="Arial"/>
          <w:color w:val="000000"/>
          <w:sz w:val="20"/>
        </w:rPr>
        <w:t>, based on the distributions of gene average read counts and dispersions estimated from real RNA-</w:t>
      </w:r>
      <w:proofErr w:type="spellStart"/>
      <w:r w:rsidRPr="00E42B2F">
        <w:rPr>
          <w:rFonts w:ascii="Arial" w:hAnsi="Arial" w:cs="Arial"/>
          <w:color w:val="000000"/>
          <w:sz w:val="20"/>
        </w:rPr>
        <w:t>seq</w:t>
      </w:r>
      <w:proofErr w:type="spellEnd"/>
      <w:r w:rsidRPr="00E42B2F">
        <w:rPr>
          <w:rFonts w:ascii="Arial" w:hAnsi="Arial" w:cs="Arial"/>
          <w:color w:val="000000"/>
          <w:sz w:val="20"/>
        </w:rPr>
        <w:t xml:space="preserve"> data. Datasets from previous, similar experiments such as the Cancer Genome Atlas (TCGA) can be used as a point of reference. Read counts and their dispersions were estimated from the reference's distribution; using that information, we estimated and summarized the power and sample size. </w:t>
      </w:r>
      <w:proofErr w:type="spellStart"/>
      <w:r w:rsidRPr="00E42B2F">
        <w:rPr>
          <w:rFonts w:ascii="Arial" w:hAnsi="Arial" w:cs="Arial"/>
          <w:color w:val="000000"/>
          <w:sz w:val="20"/>
        </w:rPr>
        <w:t>RnaSeqSampleSize</w:t>
      </w:r>
      <w:proofErr w:type="spellEnd"/>
      <w:r w:rsidRPr="00E42B2F">
        <w:rPr>
          <w:rFonts w:ascii="Arial" w:hAnsi="Arial" w:cs="Arial"/>
          <w:color w:val="000000"/>
          <w:sz w:val="20"/>
        </w:rPr>
        <w:t xml:space="preserve"> is implemented in R language and can be installed from </w:t>
      </w:r>
      <w:r w:rsidRPr="00E42B2F">
        <w:rPr>
          <w:rStyle w:val="highlight"/>
          <w:rFonts w:ascii="Arial" w:hAnsi="Arial" w:cs="Arial"/>
          <w:color w:val="000000"/>
          <w:sz w:val="20"/>
        </w:rPr>
        <w:t>Bioconductor</w:t>
      </w:r>
      <w:r w:rsidRPr="00E42B2F">
        <w:rPr>
          <w:rFonts w:ascii="Arial" w:hAnsi="Arial" w:cs="Arial"/>
          <w:color w:val="000000"/>
          <w:sz w:val="20"/>
        </w:rPr>
        <w:t xml:space="preserve"> website. </w:t>
      </w:r>
    </w:p>
    <w:p w:rsidR="00E42B2F" w:rsidRDefault="005C354F" w:rsidP="00EE2E34">
      <w:pPr>
        <w:pStyle w:val="NormalWeb"/>
        <w:shd w:val="clear" w:color="auto" w:fill="FFFFFF"/>
        <w:spacing w:before="0" w:beforeAutospacing="0" w:after="120" w:afterAutospacing="0" w:line="360" w:lineRule="auto"/>
        <w:ind w:left="360"/>
        <w:rPr>
          <w:rFonts w:ascii="Arial" w:hAnsi="Arial" w:cs="Arial"/>
          <w:color w:val="000000"/>
          <w:sz w:val="20"/>
        </w:rPr>
      </w:pPr>
      <w:r w:rsidRPr="00E42B2F">
        <w:rPr>
          <w:rFonts w:ascii="Arial" w:hAnsi="Arial" w:cs="Arial"/>
          <w:color w:val="000000"/>
          <w:sz w:val="20"/>
        </w:rPr>
        <w:t xml:space="preserve">A user friendly web graphic interface is provided at </w:t>
      </w:r>
    </w:p>
    <w:p w:rsidR="005C354F" w:rsidRPr="00E42B2F" w:rsidRDefault="005C354F" w:rsidP="00EE2E34">
      <w:pPr>
        <w:pStyle w:val="NormalWeb"/>
        <w:shd w:val="clear" w:color="auto" w:fill="FFFFFF"/>
        <w:spacing w:before="0" w:beforeAutospacing="0" w:after="120" w:afterAutospacing="0" w:line="360" w:lineRule="auto"/>
        <w:ind w:left="360"/>
        <w:rPr>
          <w:rFonts w:ascii="Arial" w:hAnsi="Arial" w:cs="Arial"/>
          <w:color w:val="000000"/>
          <w:sz w:val="20"/>
        </w:rPr>
      </w:pPr>
      <w:hyperlink r:id="rId22" w:history="1">
        <w:r w:rsidRPr="00E42B2F">
          <w:rPr>
            <w:rStyle w:val="Hyperlink"/>
            <w:rFonts w:ascii="Arial" w:hAnsi="Arial" w:cs="Arial"/>
            <w:sz w:val="16"/>
          </w:rPr>
          <w:t>http://cqs.mc.vanderbilt.edu/shiny/RnaSeqSampleSize/</w:t>
        </w:r>
      </w:hyperlink>
      <w:r w:rsidRPr="00E42B2F">
        <w:rPr>
          <w:rFonts w:ascii="Arial" w:hAnsi="Arial" w:cs="Arial"/>
          <w:color w:val="000000"/>
          <w:sz w:val="20"/>
        </w:rPr>
        <w:t xml:space="preserve"> </w:t>
      </w:r>
    </w:p>
    <w:p w:rsidR="005C354F" w:rsidRPr="00E42B2F" w:rsidRDefault="005C354F" w:rsidP="00EE2E34">
      <w:pPr>
        <w:pStyle w:val="Heading4"/>
        <w:shd w:val="clear" w:color="auto" w:fill="FFFFFF"/>
        <w:spacing w:before="0" w:line="360" w:lineRule="auto"/>
        <w:ind w:left="360" w:right="60"/>
        <w:rPr>
          <w:rFonts w:ascii="Arial" w:hAnsi="Arial" w:cs="Arial"/>
          <w:b w:val="0"/>
          <w:caps/>
          <w:color w:val="000000"/>
          <w:sz w:val="20"/>
          <w:szCs w:val="24"/>
        </w:rPr>
      </w:pPr>
      <w:r w:rsidRPr="00E42B2F">
        <w:rPr>
          <w:rFonts w:ascii="Arial" w:hAnsi="Arial" w:cs="Arial"/>
          <w:b w:val="0"/>
          <w:caps/>
          <w:color w:val="000000"/>
          <w:sz w:val="20"/>
          <w:szCs w:val="24"/>
        </w:rPr>
        <w:t>CONCLUSIONS:</w:t>
      </w:r>
    </w:p>
    <w:p w:rsidR="00F67BEE" w:rsidRPr="00E42B2F" w:rsidRDefault="005C354F" w:rsidP="00EE2E34">
      <w:pPr>
        <w:pStyle w:val="NormalWeb"/>
        <w:shd w:val="clear" w:color="auto" w:fill="FFFFFF"/>
        <w:spacing w:before="0" w:beforeAutospacing="0" w:after="120" w:afterAutospacing="0" w:line="360" w:lineRule="auto"/>
        <w:ind w:left="360"/>
        <w:rPr>
          <w:sz w:val="20"/>
        </w:rPr>
      </w:pPr>
      <w:proofErr w:type="spellStart"/>
      <w:r w:rsidRPr="00E42B2F">
        <w:rPr>
          <w:rFonts w:ascii="Arial" w:hAnsi="Arial" w:cs="Arial"/>
          <w:color w:val="000000"/>
          <w:sz w:val="20"/>
        </w:rPr>
        <w:t>RnaSeqSampleSize</w:t>
      </w:r>
      <w:proofErr w:type="spellEnd"/>
      <w:r w:rsidRPr="00E42B2F">
        <w:rPr>
          <w:rFonts w:ascii="Arial" w:hAnsi="Arial" w:cs="Arial"/>
          <w:color w:val="000000"/>
          <w:sz w:val="20"/>
        </w:rPr>
        <w:t xml:space="preserve"> provides a convenient and powerful way for power and sample size estimation for an </w:t>
      </w:r>
      <w:proofErr w:type="spellStart"/>
      <w:r w:rsidRPr="00E42B2F">
        <w:rPr>
          <w:rFonts w:ascii="Arial" w:hAnsi="Arial" w:cs="Arial"/>
          <w:color w:val="000000"/>
          <w:sz w:val="20"/>
        </w:rPr>
        <w:t>RNAseq</w:t>
      </w:r>
      <w:proofErr w:type="spellEnd"/>
      <w:r w:rsidRPr="00E42B2F">
        <w:rPr>
          <w:rFonts w:ascii="Arial" w:hAnsi="Arial" w:cs="Arial"/>
          <w:color w:val="000000"/>
          <w:sz w:val="20"/>
        </w:rPr>
        <w:t xml:space="preserve"> experiment. It is also equipped with several unique features, including estimation for interested genes or pathway, power curve visualization, and parameter optimization.</w:t>
      </w:r>
      <w:r w:rsidR="00EE2E34" w:rsidRPr="00E42B2F">
        <w:rPr>
          <w:sz w:val="20"/>
        </w:rPr>
        <w:t xml:space="preserve"> </w:t>
      </w:r>
    </w:p>
    <w:p w:rsidR="005C354F" w:rsidRPr="00E42B2F" w:rsidRDefault="005C354F" w:rsidP="00EE2E34">
      <w:pPr>
        <w:pStyle w:val="ListParagraph"/>
        <w:numPr>
          <w:ilvl w:val="0"/>
          <w:numId w:val="1"/>
        </w:numPr>
        <w:spacing w:line="360" w:lineRule="auto"/>
        <w:rPr>
          <w:b/>
          <w:sz w:val="22"/>
          <w:szCs w:val="28"/>
        </w:rPr>
      </w:pPr>
      <w:r w:rsidRPr="00E42B2F">
        <w:rPr>
          <w:b/>
          <w:sz w:val="22"/>
          <w:szCs w:val="28"/>
        </w:rPr>
        <w:t>Next-generation Sequence-analysis Toolkit (</w:t>
      </w:r>
      <w:proofErr w:type="spellStart"/>
      <w:r w:rsidRPr="00E42B2F">
        <w:rPr>
          <w:b/>
          <w:sz w:val="22"/>
          <w:szCs w:val="28"/>
        </w:rPr>
        <w:t>NeST</w:t>
      </w:r>
      <w:proofErr w:type="spellEnd"/>
      <w:r w:rsidRPr="00E42B2F">
        <w:rPr>
          <w:b/>
          <w:sz w:val="22"/>
          <w:szCs w:val="28"/>
        </w:rPr>
        <w:t>): A standardized bioinformatics framework for analyzing Single Nucleotide Polymorphisms in next-generation sequencing data</w:t>
      </w:r>
    </w:p>
    <w:p w:rsidR="005C354F" w:rsidRPr="00E42B2F" w:rsidRDefault="005C354F" w:rsidP="00EE2E34">
      <w:pPr>
        <w:pStyle w:val="ListParagraph"/>
        <w:spacing w:line="360" w:lineRule="auto"/>
        <w:ind w:left="360"/>
        <w:rPr>
          <w:rFonts w:ascii="Lucida Sans" w:hAnsi="Lucida Sans"/>
          <w:color w:val="191919"/>
          <w:sz w:val="20"/>
          <w:szCs w:val="24"/>
          <w:shd w:val="clear" w:color="auto" w:fill="FFFFFF"/>
        </w:rPr>
      </w:pPr>
      <w:proofErr w:type="spellStart"/>
      <w:r w:rsidRPr="00E42B2F">
        <w:rPr>
          <w:rFonts w:ascii="Lucida Sans" w:hAnsi="Lucida Sans"/>
          <w:color w:val="191919"/>
          <w:sz w:val="20"/>
          <w:szCs w:val="24"/>
          <w:shd w:val="clear" w:color="auto" w:fill="FFFFFF"/>
        </w:rPr>
        <w:lastRenderedPageBreak/>
        <w:t>NeST</w:t>
      </w:r>
      <w:proofErr w:type="spellEnd"/>
      <w:r w:rsidRPr="00E42B2F">
        <w:rPr>
          <w:rFonts w:ascii="Lucida Sans" w:hAnsi="Lucida Sans"/>
          <w:color w:val="191919"/>
          <w:sz w:val="20"/>
          <w:szCs w:val="24"/>
          <w:shd w:val="clear" w:color="auto" w:fill="FFFFFF"/>
        </w:rPr>
        <w:t xml:space="preserve"> (NGS-analysis Toolkit), a modular consensus-based variant calling framework. </w:t>
      </w:r>
      <w:proofErr w:type="spellStart"/>
      <w:r w:rsidRPr="00E42B2F">
        <w:rPr>
          <w:rFonts w:ascii="Lucida Sans" w:hAnsi="Lucida Sans"/>
          <w:color w:val="191919"/>
          <w:sz w:val="20"/>
          <w:szCs w:val="24"/>
          <w:shd w:val="clear" w:color="auto" w:fill="FFFFFF"/>
        </w:rPr>
        <w:t>NeST</w:t>
      </w:r>
      <w:proofErr w:type="spellEnd"/>
      <w:r w:rsidRPr="00E42B2F">
        <w:rPr>
          <w:rFonts w:ascii="Lucida Sans" w:hAnsi="Lucida Sans"/>
          <w:color w:val="191919"/>
          <w:sz w:val="20"/>
          <w:szCs w:val="24"/>
          <w:shd w:val="clear" w:color="auto" w:fill="FFFFFF"/>
        </w:rPr>
        <w:t xml:space="preserve"> uses a combination of variant callers to overcome potential biases of an individual method used alone. </w:t>
      </w:r>
      <w:proofErr w:type="spellStart"/>
      <w:r w:rsidRPr="00E42B2F">
        <w:rPr>
          <w:rFonts w:ascii="Lucida Sans" w:hAnsi="Lucida Sans"/>
          <w:color w:val="191919"/>
          <w:sz w:val="20"/>
          <w:szCs w:val="24"/>
          <w:shd w:val="clear" w:color="auto" w:fill="FFFFFF"/>
        </w:rPr>
        <w:t>NeST</w:t>
      </w:r>
      <w:proofErr w:type="spellEnd"/>
      <w:r w:rsidRPr="00E42B2F">
        <w:rPr>
          <w:rFonts w:ascii="Lucida Sans" w:hAnsi="Lucida Sans"/>
          <w:color w:val="191919"/>
          <w:sz w:val="20"/>
          <w:szCs w:val="24"/>
          <w:shd w:val="clear" w:color="auto" w:fill="FFFFFF"/>
        </w:rPr>
        <w:t xml:space="preserve"> consists of four </w:t>
      </w:r>
      <w:proofErr w:type="gramStart"/>
      <w:r w:rsidRPr="00E42B2F">
        <w:rPr>
          <w:rFonts w:ascii="Lucida Sans" w:hAnsi="Lucida Sans"/>
          <w:color w:val="191919"/>
          <w:sz w:val="20"/>
          <w:szCs w:val="24"/>
          <w:shd w:val="clear" w:color="auto" w:fill="FFFFFF"/>
        </w:rPr>
        <w:t>modules, that</w:t>
      </w:r>
      <w:proofErr w:type="gramEnd"/>
      <w:r w:rsidRPr="00E42B2F">
        <w:rPr>
          <w:rFonts w:ascii="Lucida Sans" w:hAnsi="Lucida Sans"/>
          <w:color w:val="191919"/>
          <w:sz w:val="20"/>
          <w:szCs w:val="24"/>
          <w:shd w:val="clear" w:color="auto" w:fill="FFFFFF"/>
        </w:rPr>
        <w:t xml:space="preserve"> integrate open-source bioinformatics tools, a custom Variant Calling Format (VCF) parser and a summarization utility, that generate high-quality consensus variant calls. </w:t>
      </w:r>
      <w:proofErr w:type="spellStart"/>
      <w:r w:rsidRPr="00E42B2F">
        <w:rPr>
          <w:rFonts w:ascii="Lucida Sans" w:hAnsi="Lucida Sans"/>
          <w:color w:val="191919"/>
          <w:sz w:val="20"/>
          <w:szCs w:val="24"/>
          <w:shd w:val="clear" w:color="auto" w:fill="FFFFFF"/>
        </w:rPr>
        <w:t>NeST</w:t>
      </w:r>
      <w:proofErr w:type="spellEnd"/>
      <w:r w:rsidRPr="00E42B2F">
        <w:rPr>
          <w:rFonts w:ascii="Lucida Sans" w:hAnsi="Lucida Sans"/>
          <w:color w:val="191919"/>
          <w:sz w:val="20"/>
          <w:szCs w:val="24"/>
          <w:shd w:val="clear" w:color="auto" w:fill="FFFFFF"/>
        </w:rPr>
        <w:t xml:space="preserve"> was validated using targeted-amplicon deep sequencing data from 245 Plasmodium falciparum isolates to identify single-nucleotide polymorphisms conferring drug resistance. The results were verified using Sanger sequencing data for the same dataset in a supporting </w:t>
      </w:r>
      <w:proofErr w:type="spellStart"/>
      <w:r w:rsidRPr="00E42B2F">
        <w:rPr>
          <w:rFonts w:ascii="Lucida Sans" w:hAnsi="Lucida Sans"/>
          <w:color w:val="191919"/>
          <w:sz w:val="20"/>
          <w:szCs w:val="24"/>
          <w:shd w:val="clear" w:color="auto" w:fill="FFFFFF"/>
        </w:rPr>
        <w:t>publication.NeST</w:t>
      </w:r>
      <w:proofErr w:type="spellEnd"/>
      <w:r w:rsidRPr="00E42B2F">
        <w:rPr>
          <w:rFonts w:ascii="Lucida Sans" w:hAnsi="Lucida Sans"/>
          <w:color w:val="191919"/>
          <w:sz w:val="20"/>
          <w:szCs w:val="24"/>
          <w:shd w:val="clear" w:color="auto" w:fill="FFFFFF"/>
        </w:rPr>
        <w:t xml:space="preserve"> offers a user-friendly pipeline for variant calling with standardized outputs and minimal computational demands for easy deployment for use with various organisms and applications.</w:t>
      </w:r>
    </w:p>
    <w:p w:rsidR="005C354F" w:rsidRPr="00783FAA" w:rsidRDefault="005C354F" w:rsidP="00EE2E34">
      <w:pPr>
        <w:pStyle w:val="ListParagraph"/>
        <w:spacing w:line="360" w:lineRule="auto"/>
        <w:ind w:left="360"/>
        <w:rPr>
          <w:sz w:val="18"/>
          <w:szCs w:val="24"/>
        </w:rPr>
      </w:pPr>
      <w:hyperlink r:id="rId23" w:history="1">
        <w:r w:rsidRPr="00783FAA">
          <w:rPr>
            <w:rStyle w:val="Hyperlink"/>
            <w:sz w:val="18"/>
            <w:szCs w:val="24"/>
          </w:rPr>
          <w:t>https://ww</w:t>
        </w:r>
        <w:bookmarkStart w:id="0" w:name="_GoBack"/>
        <w:bookmarkEnd w:id="0"/>
        <w:r w:rsidRPr="00783FAA">
          <w:rPr>
            <w:rStyle w:val="Hyperlink"/>
            <w:sz w:val="18"/>
            <w:szCs w:val="24"/>
          </w:rPr>
          <w:t>w.biorxiv.org/content/early/2018/05/21/323535?%3Fcollection</w:t>
        </w:r>
      </w:hyperlink>
      <w:r w:rsidRPr="00783FAA">
        <w:rPr>
          <w:sz w:val="18"/>
          <w:szCs w:val="24"/>
        </w:rPr>
        <w:t xml:space="preserve">= </w:t>
      </w:r>
    </w:p>
    <w:sectPr w:rsidR="005C354F" w:rsidRPr="00783FAA">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E34" w:rsidRDefault="00EE2E34" w:rsidP="00EE2E34">
      <w:pPr>
        <w:spacing w:after="0" w:line="240" w:lineRule="auto"/>
      </w:pPr>
      <w:r>
        <w:separator/>
      </w:r>
    </w:p>
  </w:endnote>
  <w:endnote w:type="continuationSeparator" w:id="0">
    <w:p w:rsidR="00EE2E34" w:rsidRDefault="00EE2E34" w:rsidP="00EE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E34" w:rsidRDefault="00EE2E34" w:rsidP="00EE2E34">
      <w:pPr>
        <w:spacing w:after="0" w:line="240" w:lineRule="auto"/>
      </w:pPr>
      <w:r>
        <w:separator/>
      </w:r>
    </w:p>
  </w:footnote>
  <w:footnote w:type="continuationSeparator" w:id="0">
    <w:p w:rsidR="00EE2E34" w:rsidRDefault="00EE2E34" w:rsidP="00EE2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34" w:rsidRDefault="00EE2E34">
    <w:pPr>
      <w:pStyle w:val="Heade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Digest Club</w:t>
    </w:r>
    <w:r w:rsidRPr="00EE2E34">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ptab w:relativeTo="margin" w:alignment="center" w:leader="none"/>
    </w:r>
    <w:r w:rsidRPr="00EE2E34">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ptab w:relativeTo="margin" w:alignment="right" w:leader="none"/>
    </w: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35E"/>
    <w:multiLevelType w:val="hybridMultilevel"/>
    <w:tmpl w:val="B748C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672EB2"/>
    <w:multiLevelType w:val="hybridMultilevel"/>
    <w:tmpl w:val="FEB4D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AF"/>
    <w:rsid w:val="000B00DD"/>
    <w:rsid w:val="001C0B28"/>
    <w:rsid w:val="005B2FED"/>
    <w:rsid w:val="005C354F"/>
    <w:rsid w:val="00690C7A"/>
    <w:rsid w:val="00783FAA"/>
    <w:rsid w:val="00A26019"/>
    <w:rsid w:val="00A81808"/>
    <w:rsid w:val="00CD57AF"/>
    <w:rsid w:val="00E42B2F"/>
    <w:rsid w:val="00EE2E34"/>
    <w:rsid w:val="00F6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0B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0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35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FED"/>
    <w:pPr>
      <w:ind w:left="720"/>
      <w:contextualSpacing/>
    </w:pPr>
  </w:style>
  <w:style w:type="character" w:styleId="Hyperlink">
    <w:name w:val="Hyperlink"/>
    <w:basedOn w:val="DefaultParagraphFont"/>
    <w:uiPriority w:val="99"/>
    <w:unhideWhenUsed/>
    <w:rsid w:val="00F67BEE"/>
    <w:rPr>
      <w:color w:val="0000FF"/>
      <w:u w:val="single"/>
    </w:rPr>
  </w:style>
  <w:style w:type="character" w:styleId="Emphasis">
    <w:name w:val="Emphasis"/>
    <w:basedOn w:val="DefaultParagraphFont"/>
    <w:uiPriority w:val="20"/>
    <w:qFormat/>
    <w:rsid w:val="001C0B28"/>
    <w:rPr>
      <w:i/>
      <w:iCs/>
    </w:rPr>
  </w:style>
  <w:style w:type="character" w:customStyle="1" w:styleId="monospace">
    <w:name w:val="monospace"/>
    <w:basedOn w:val="DefaultParagraphFont"/>
    <w:rsid w:val="001C0B28"/>
  </w:style>
  <w:style w:type="paragraph" w:styleId="BalloonText">
    <w:name w:val="Balloon Text"/>
    <w:basedOn w:val="Normal"/>
    <w:link w:val="BalloonTextChar"/>
    <w:uiPriority w:val="99"/>
    <w:semiHidden/>
    <w:unhideWhenUsed/>
    <w:rsid w:val="001C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B28"/>
    <w:rPr>
      <w:rFonts w:ascii="Tahoma" w:hAnsi="Tahoma" w:cs="Tahoma"/>
      <w:sz w:val="16"/>
      <w:szCs w:val="16"/>
    </w:rPr>
  </w:style>
  <w:style w:type="character" w:customStyle="1" w:styleId="smallcaps">
    <w:name w:val="smallcaps"/>
    <w:basedOn w:val="DefaultParagraphFont"/>
    <w:rsid w:val="001C0B28"/>
  </w:style>
  <w:style w:type="character" w:customStyle="1" w:styleId="Heading2Char">
    <w:name w:val="Heading 2 Char"/>
    <w:basedOn w:val="DefaultParagraphFont"/>
    <w:link w:val="Heading2"/>
    <w:uiPriority w:val="9"/>
    <w:rsid w:val="001C0B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0B28"/>
    <w:rPr>
      <w:rFonts w:ascii="Times New Roman" w:eastAsia="Times New Roman" w:hAnsi="Times New Roman" w:cs="Times New Roman"/>
      <w:b/>
      <w:bCs/>
      <w:sz w:val="27"/>
      <w:szCs w:val="27"/>
    </w:rPr>
  </w:style>
  <w:style w:type="paragraph" w:customStyle="1" w:styleId="para">
    <w:name w:val="para"/>
    <w:basedOn w:val="Normal"/>
    <w:rsid w:val="001C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26019"/>
  </w:style>
  <w:style w:type="character" w:customStyle="1" w:styleId="Heading4Char">
    <w:name w:val="Heading 4 Char"/>
    <w:basedOn w:val="DefaultParagraphFont"/>
    <w:link w:val="Heading4"/>
    <w:uiPriority w:val="9"/>
    <w:semiHidden/>
    <w:rsid w:val="005C354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C35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34"/>
  </w:style>
  <w:style w:type="paragraph" w:styleId="Footer">
    <w:name w:val="footer"/>
    <w:basedOn w:val="Normal"/>
    <w:link w:val="FooterChar"/>
    <w:uiPriority w:val="99"/>
    <w:unhideWhenUsed/>
    <w:rsid w:val="00EE2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0B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0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35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FED"/>
    <w:pPr>
      <w:ind w:left="720"/>
      <w:contextualSpacing/>
    </w:pPr>
  </w:style>
  <w:style w:type="character" w:styleId="Hyperlink">
    <w:name w:val="Hyperlink"/>
    <w:basedOn w:val="DefaultParagraphFont"/>
    <w:uiPriority w:val="99"/>
    <w:unhideWhenUsed/>
    <w:rsid w:val="00F67BEE"/>
    <w:rPr>
      <w:color w:val="0000FF"/>
      <w:u w:val="single"/>
    </w:rPr>
  </w:style>
  <w:style w:type="character" w:styleId="Emphasis">
    <w:name w:val="Emphasis"/>
    <w:basedOn w:val="DefaultParagraphFont"/>
    <w:uiPriority w:val="20"/>
    <w:qFormat/>
    <w:rsid w:val="001C0B28"/>
    <w:rPr>
      <w:i/>
      <w:iCs/>
    </w:rPr>
  </w:style>
  <w:style w:type="character" w:customStyle="1" w:styleId="monospace">
    <w:name w:val="monospace"/>
    <w:basedOn w:val="DefaultParagraphFont"/>
    <w:rsid w:val="001C0B28"/>
  </w:style>
  <w:style w:type="paragraph" w:styleId="BalloonText">
    <w:name w:val="Balloon Text"/>
    <w:basedOn w:val="Normal"/>
    <w:link w:val="BalloonTextChar"/>
    <w:uiPriority w:val="99"/>
    <w:semiHidden/>
    <w:unhideWhenUsed/>
    <w:rsid w:val="001C0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B28"/>
    <w:rPr>
      <w:rFonts w:ascii="Tahoma" w:hAnsi="Tahoma" w:cs="Tahoma"/>
      <w:sz w:val="16"/>
      <w:szCs w:val="16"/>
    </w:rPr>
  </w:style>
  <w:style w:type="character" w:customStyle="1" w:styleId="smallcaps">
    <w:name w:val="smallcaps"/>
    <w:basedOn w:val="DefaultParagraphFont"/>
    <w:rsid w:val="001C0B28"/>
  </w:style>
  <w:style w:type="character" w:customStyle="1" w:styleId="Heading2Char">
    <w:name w:val="Heading 2 Char"/>
    <w:basedOn w:val="DefaultParagraphFont"/>
    <w:link w:val="Heading2"/>
    <w:uiPriority w:val="9"/>
    <w:rsid w:val="001C0B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0B28"/>
    <w:rPr>
      <w:rFonts w:ascii="Times New Roman" w:eastAsia="Times New Roman" w:hAnsi="Times New Roman" w:cs="Times New Roman"/>
      <w:b/>
      <w:bCs/>
      <w:sz w:val="27"/>
      <w:szCs w:val="27"/>
    </w:rPr>
  </w:style>
  <w:style w:type="paragraph" w:customStyle="1" w:styleId="para">
    <w:name w:val="para"/>
    <w:basedOn w:val="Normal"/>
    <w:rsid w:val="001C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26019"/>
  </w:style>
  <w:style w:type="character" w:customStyle="1" w:styleId="Heading4Char">
    <w:name w:val="Heading 4 Char"/>
    <w:basedOn w:val="DefaultParagraphFont"/>
    <w:link w:val="Heading4"/>
    <w:uiPriority w:val="9"/>
    <w:semiHidden/>
    <w:rsid w:val="005C354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C35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34"/>
  </w:style>
  <w:style w:type="paragraph" w:styleId="Footer">
    <w:name w:val="footer"/>
    <w:basedOn w:val="Normal"/>
    <w:link w:val="FooterChar"/>
    <w:uiPriority w:val="99"/>
    <w:unhideWhenUsed/>
    <w:rsid w:val="00EE2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213">
      <w:bodyDiv w:val="1"/>
      <w:marLeft w:val="0"/>
      <w:marRight w:val="0"/>
      <w:marTop w:val="0"/>
      <w:marBottom w:val="0"/>
      <w:divBdr>
        <w:top w:val="none" w:sz="0" w:space="0" w:color="auto"/>
        <w:left w:val="none" w:sz="0" w:space="0" w:color="auto"/>
        <w:bottom w:val="none" w:sz="0" w:space="0" w:color="auto"/>
        <w:right w:val="none" w:sz="0" w:space="0" w:color="auto"/>
      </w:divBdr>
    </w:div>
    <w:div w:id="434979357">
      <w:bodyDiv w:val="1"/>
      <w:marLeft w:val="0"/>
      <w:marRight w:val="0"/>
      <w:marTop w:val="0"/>
      <w:marBottom w:val="0"/>
      <w:divBdr>
        <w:top w:val="none" w:sz="0" w:space="0" w:color="auto"/>
        <w:left w:val="none" w:sz="0" w:space="0" w:color="auto"/>
        <w:bottom w:val="none" w:sz="0" w:space="0" w:color="auto"/>
        <w:right w:val="none" w:sz="0" w:space="0" w:color="auto"/>
      </w:divBdr>
      <w:divsChild>
        <w:div w:id="1424838142">
          <w:marLeft w:val="0"/>
          <w:marRight w:val="0"/>
          <w:marTop w:val="0"/>
          <w:marBottom w:val="0"/>
          <w:divBdr>
            <w:top w:val="none" w:sz="0" w:space="0" w:color="auto"/>
            <w:left w:val="none" w:sz="0" w:space="0" w:color="auto"/>
            <w:bottom w:val="none" w:sz="0" w:space="0" w:color="auto"/>
            <w:right w:val="none" w:sz="0" w:space="0" w:color="auto"/>
          </w:divBdr>
          <w:divsChild>
            <w:div w:id="17578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2132">
      <w:bodyDiv w:val="1"/>
      <w:marLeft w:val="0"/>
      <w:marRight w:val="0"/>
      <w:marTop w:val="0"/>
      <w:marBottom w:val="0"/>
      <w:divBdr>
        <w:top w:val="none" w:sz="0" w:space="0" w:color="auto"/>
        <w:left w:val="none" w:sz="0" w:space="0" w:color="auto"/>
        <w:bottom w:val="none" w:sz="0" w:space="0" w:color="auto"/>
        <w:right w:val="none" w:sz="0" w:space="0" w:color="auto"/>
      </w:divBdr>
      <w:divsChild>
        <w:div w:id="600842426">
          <w:marLeft w:val="0"/>
          <w:marRight w:val="0"/>
          <w:marTop w:val="0"/>
          <w:marBottom w:val="0"/>
          <w:divBdr>
            <w:top w:val="none" w:sz="0" w:space="0" w:color="auto"/>
            <w:left w:val="none" w:sz="0" w:space="0" w:color="auto"/>
            <w:bottom w:val="none" w:sz="0" w:space="0" w:color="auto"/>
            <w:right w:val="none" w:sz="0" w:space="0" w:color="auto"/>
          </w:divBdr>
          <w:divsChild>
            <w:div w:id="20664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331">
      <w:bodyDiv w:val="1"/>
      <w:marLeft w:val="0"/>
      <w:marRight w:val="0"/>
      <w:marTop w:val="0"/>
      <w:marBottom w:val="0"/>
      <w:divBdr>
        <w:top w:val="none" w:sz="0" w:space="0" w:color="auto"/>
        <w:left w:val="none" w:sz="0" w:space="0" w:color="auto"/>
        <w:bottom w:val="none" w:sz="0" w:space="0" w:color="auto"/>
        <w:right w:val="none" w:sz="0" w:space="0" w:color="auto"/>
      </w:divBdr>
      <w:divsChild>
        <w:div w:id="168914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iencedirect.com/topics/biochemistry-genetics-and-molecular-biology/myeloid" TargetMode="External"/><Relationship Id="rId18" Type="http://schemas.openxmlformats.org/officeDocument/2006/relationships/hyperlink" Target="https://academic.oup.com/bioinformatics/advance-article/doi/10.1093/bioinformatics/bty402/500138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academic.oup.com/bioinformatics/advance-article/doi/10.1093/bioinformatics/bty410/5001391" TargetMode="External"/><Relationship Id="rId7" Type="http://schemas.openxmlformats.org/officeDocument/2006/relationships/webSettings" Target="webSettings.xml"/><Relationship Id="rId12" Type="http://schemas.openxmlformats.org/officeDocument/2006/relationships/hyperlink" Target="http://www.ncbi.nlm.nih.gov/geo/query/acc.cgi?acc=GSE53155" TargetMode="External"/><Relationship Id="rId17" Type="http://schemas.openxmlformats.org/officeDocument/2006/relationships/hyperlink" Target="https://www.sciencedirect.com/science/article/pii/S1046202317304978?via%3Dihu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iencedirect.com/topics/biochemistry-genetics-and-molecular-biology/bioconductor" TargetMode="External"/><Relationship Id="rId20" Type="http://schemas.openxmlformats.org/officeDocument/2006/relationships/hyperlink" Target="https://www.bioconductor.org/packages/mesh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sciencedirect.com/topics/biochemistry-genetics-and-molecular-biology/signal-transduction" TargetMode="External"/><Relationship Id="rId23" Type="http://schemas.openxmlformats.org/officeDocument/2006/relationships/hyperlink" Target="https://www.biorxiv.org/content/early/2018/05/21/323535?%3Fcollection" TargetMode="External"/><Relationship Id="rId10" Type="http://schemas.openxmlformats.org/officeDocument/2006/relationships/hyperlink" Target="http://journals.plos.org/ploscompbiol/article?id=10.1371/journal.pcbi.1006135" TargetMode="External"/><Relationship Id="rId19" Type="http://schemas.openxmlformats.org/officeDocument/2006/relationships/hyperlink" Target="http://bioconductor.org/packages/bcSeq/"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ciencedirect.com/topics/biochemistry-genetics-and-molecular-biology/carcinogenesis" TargetMode="External"/><Relationship Id="rId22" Type="http://schemas.openxmlformats.org/officeDocument/2006/relationships/hyperlink" Target="http://cqs.mc.vanderbilt.edu/shiny/RnaSeqSample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34C1F-8EAE-46A5-BD7F-98D21C3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Digest Club</vt:lpstr>
    </vt:vector>
  </TitlesOfParts>
  <Company>Mayo Clinic</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Digest Club</dc:title>
  <dc:subject/>
  <dc:creator>Tejaswi  Alaparthi</dc:creator>
  <cp:keywords/>
  <dc:description/>
  <cp:lastModifiedBy>Tejaswi  Alaparthi</cp:lastModifiedBy>
  <cp:revision>7</cp:revision>
  <dcterms:created xsi:type="dcterms:W3CDTF">2018-06-05T13:31:00Z</dcterms:created>
  <dcterms:modified xsi:type="dcterms:W3CDTF">2018-06-05T16:08:00Z</dcterms:modified>
</cp:coreProperties>
</file>